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BB65E" w14:textId="4F35BBAD" w:rsidR="00FF5435" w:rsidRDefault="008B1DFA">
      <w:pPr>
        <w:rPr>
          <w:b/>
          <w:bCs/>
        </w:rPr>
      </w:pPr>
      <w:r w:rsidRPr="008B1DFA">
        <w:rPr>
          <w:b/>
          <w:bCs/>
        </w:rPr>
        <w:t>PAYMENT SCHEDULE</w:t>
      </w:r>
    </w:p>
    <w:p w14:paraId="1A27FAE4" w14:textId="77777777" w:rsidR="008B1DFA" w:rsidRDefault="008B1DFA">
      <w:pPr>
        <w:rPr>
          <w:b/>
          <w:bCs/>
        </w:rPr>
      </w:pPr>
    </w:p>
    <w:p w14:paraId="4EC99BC5" w14:textId="1DA6370D" w:rsidR="008B1DFA" w:rsidRDefault="008B1DFA" w:rsidP="008B1DFA">
      <w:pPr>
        <w:ind w:right="48"/>
      </w:pPr>
      <w:r>
        <w:t xml:space="preserve">Partial payment will be </w:t>
      </w:r>
      <w:r>
        <w:t>made</w:t>
      </w:r>
      <w:r>
        <w:t xml:space="preserve"> upon accomplishing the tasks and milestones and deliverables set in the table below. </w:t>
      </w:r>
    </w:p>
    <w:p w14:paraId="2769AEEF" w14:textId="77777777" w:rsidR="008B1DFA" w:rsidRDefault="008B1DFA" w:rsidP="008B1DFA">
      <w:pPr>
        <w:spacing w:after="0" w:line="259" w:lineRule="auto"/>
        <w:ind w:left="18"/>
      </w:pPr>
      <w:r>
        <w:t xml:space="preserve"> </w:t>
      </w:r>
    </w:p>
    <w:p w14:paraId="1C68D38E" w14:textId="77777777" w:rsidR="008B1DFA" w:rsidRDefault="008B1DFA" w:rsidP="008B1DFA">
      <w:pPr>
        <w:ind w:right="48"/>
      </w:pPr>
      <w:r>
        <w:t xml:space="preserve">The contractor is required to submit the following deliverables: </w:t>
      </w:r>
    </w:p>
    <w:tbl>
      <w:tblPr>
        <w:tblStyle w:val="TableGrid"/>
        <w:tblW w:w="9801" w:type="dxa"/>
        <w:tblInd w:w="27" w:type="dxa"/>
        <w:tblCellMar>
          <w:top w:w="56" w:type="dxa"/>
          <w:left w:w="96" w:type="dxa"/>
          <w:bottom w:w="0" w:type="dxa"/>
          <w:right w:w="41" w:type="dxa"/>
        </w:tblCellMar>
        <w:tblLook w:val="04A0" w:firstRow="1" w:lastRow="0" w:firstColumn="1" w:lastColumn="0" w:noHBand="0" w:noVBand="1"/>
      </w:tblPr>
      <w:tblGrid>
        <w:gridCol w:w="340"/>
        <w:gridCol w:w="3621"/>
        <w:gridCol w:w="2131"/>
        <w:gridCol w:w="2035"/>
        <w:gridCol w:w="1674"/>
      </w:tblGrid>
      <w:tr w:rsidR="008B1DFA" w14:paraId="63F4EE88" w14:textId="77777777" w:rsidTr="00966536">
        <w:trPr>
          <w:trHeight w:val="508"/>
        </w:trPr>
        <w:tc>
          <w:tcPr>
            <w:tcW w:w="351"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7C88A20F" w14:textId="77777777" w:rsidR="008B1DFA" w:rsidRDefault="008B1DFA" w:rsidP="00966536">
            <w:pPr>
              <w:spacing w:line="259" w:lineRule="auto"/>
              <w:ind w:left="20"/>
            </w:pPr>
            <w:r>
              <w:rPr>
                <w:rFonts w:ascii="Calibri" w:eastAsia="Calibri" w:hAnsi="Calibri" w:cs="Calibri"/>
                <w:b/>
                <w:sz w:val="20"/>
              </w:rPr>
              <w:t xml:space="preserve"># </w:t>
            </w:r>
          </w:p>
        </w:tc>
        <w:tc>
          <w:tcPr>
            <w:tcW w:w="3869"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20BE117D" w14:textId="77777777" w:rsidR="008B1DFA" w:rsidRDefault="008B1DFA" w:rsidP="00966536">
            <w:pPr>
              <w:spacing w:line="259" w:lineRule="auto"/>
            </w:pPr>
            <w:r>
              <w:rPr>
                <w:rFonts w:ascii="Calibri" w:eastAsia="Calibri" w:hAnsi="Calibri" w:cs="Calibri"/>
                <w:b/>
                <w:sz w:val="20"/>
              </w:rPr>
              <w:t xml:space="preserve">Task /Milestone </w:t>
            </w:r>
            <w:r>
              <w:rPr>
                <w:sz w:val="20"/>
              </w:rPr>
              <w:t xml:space="preserve"> </w:t>
            </w:r>
          </w:p>
        </w:tc>
        <w:tc>
          <w:tcPr>
            <w:tcW w:w="1620" w:type="dxa"/>
            <w:tcBorders>
              <w:top w:val="single" w:sz="6" w:space="0" w:color="000000"/>
              <w:left w:val="single" w:sz="6" w:space="0" w:color="000000"/>
              <w:bottom w:val="single" w:sz="6" w:space="0" w:color="000000"/>
              <w:right w:val="single" w:sz="6" w:space="0" w:color="000000"/>
            </w:tcBorders>
            <w:shd w:val="clear" w:color="auto" w:fill="DBE5F1"/>
          </w:tcPr>
          <w:p w14:paraId="36B19B96" w14:textId="77777777" w:rsidR="008B1DFA" w:rsidRDefault="008B1DFA" w:rsidP="00966536">
            <w:pPr>
              <w:spacing w:line="259" w:lineRule="auto"/>
              <w:ind w:left="89"/>
            </w:pPr>
            <w:r>
              <w:rPr>
                <w:rFonts w:ascii="Calibri" w:eastAsia="Calibri" w:hAnsi="Calibri" w:cs="Calibri"/>
                <w:b/>
                <w:sz w:val="20"/>
              </w:rPr>
              <w:t xml:space="preserve">Deliverable </w:t>
            </w:r>
          </w:p>
          <w:p w14:paraId="56AAA5A7" w14:textId="77777777" w:rsidR="008B1DFA" w:rsidRDefault="008B1DFA" w:rsidP="00966536">
            <w:pPr>
              <w:spacing w:line="259" w:lineRule="auto"/>
              <w:ind w:left="89"/>
            </w:pPr>
            <w:r>
              <w:rPr>
                <w:rFonts w:ascii="Calibri" w:eastAsia="Calibri" w:hAnsi="Calibri" w:cs="Calibri"/>
                <w:b/>
                <w:sz w:val="20"/>
              </w:rPr>
              <w:t>Outputs</w:t>
            </w:r>
            <w:r>
              <w:rPr>
                <w:sz w:val="20"/>
              </w:rPr>
              <w:t xml:space="preserve">  </w:t>
            </w:r>
          </w:p>
        </w:tc>
        <w:tc>
          <w:tcPr>
            <w:tcW w:w="2160"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6BA1E18A" w14:textId="77777777" w:rsidR="008B1DFA" w:rsidRDefault="008B1DFA" w:rsidP="00966536">
            <w:pPr>
              <w:spacing w:line="259" w:lineRule="auto"/>
              <w:ind w:left="89"/>
            </w:pPr>
            <w:r>
              <w:rPr>
                <w:rFonts w:ascii="Calibri" w:eastAsia="Calibri" w:hAnsi="Calibri" w:cs="Calibri"/>
                <w:b/>
                <w:sz w:val="20"/>
              </w:rPr>
              <w:t xml:space="preserve">Timeline </w:t>
            </w:r>
            <w:r>
              <w:rPr>
                <w:sz w:val="20"/>
              </w:rPr>
              <w:t xml:space="preserve">  </w:t>
            </w:r>
          </w:p>
        </w:tc>
        <w:tc>
          <w:tcPr>
            <w:tcW w:w="1800" w:type="dxa"/>
            <w:tcBorders>
              <w:top w:val="single" w:sz="6" w:space="0" w:color="000000"/>
              <w:left w:val="single" w:sz="6" w:space="0" w:color="000000"/>
              <w:bottom w:val="single" w:sz="6" w:space="0" w:color="000000"/>
              <w:right w:val="single" w:sz="6" w:space="0" w:color="000000"/>
            </w:tcBorders>
            <w:shd w:val="clear" w:color="auto" w:fill="DBE5F1"/>
          </w:tcPr>
          <w:p w14:paraId="3C565E39" w14:textId="7A55D4E6" w:rsidR="008B1DFA" w:rsidRDefault="008B1DFA" w:rsidP="00966536">
            <w:pPr>
              <w:tabs>
                <w:tab w:val="right" w:pos="1663"/>
              </w:tabs>
              <w:spacing w:line="259" w:lineRule="auto"/>
            </w:pPr>
            <w:r>
              <w:rPr>
                <w:rFonts w:ascii="Calibri" w:eastAsia="Calibri" w:hAnsi="Calibri" w:cs="Calibri"/>
                <w:b/>
                <w:sz w:val="20"/>
              </w:rPr>
              <w:t>Payment (</w:t>
            </w:r>
            <w:r>
              <w:rPr>
                <w:rFonts w:ascii="Calibri" w:eastAsia="Calibri" w:hAnsi="Calibri" w:cs="Calibri"/>
                <w:b/>
                <w:sz w:val="20"/>
              </w:rPr>
              <w:t xml:space="preserve">% </w:t>
            </w:r>
          </w:p>
          <w:p w14:paraId="58698A8B" w14:textId="77777777" w:rsidR="008B1DFA" w:rsidRDefault="008B1DFA" w:rsidP="00966536">
            <w:pPr>
              <w:spacing w:line="259" w:lineRule="auto"/>
            </w:pPr>
            <w:r>
              <w:rPr>
                <w:rFonts w:ascii="Calibri" w:eastAsia="Calibri" w:hAnsi="Calibri" w:cs="Calibri"/>
                <w:b/>
                <w:sz w:val="20"/>
              </w:rPr>
              <w:t>USD)</w:t>
            </w:r>
            <w:r>
              <w:rPr>
                <w:sz w:val="20"/>
              </w:rPr>
              <w:t xml:space="preserve">  </w:t>
            </w:r>
          </w:p>
        </w:tc>
      </w:tr>
      <w:tr w:rsidR="008B1DFA" w14:paraId="01CD2556" w14:textId="77777777" w:rsidTr="00966536">
        <w:trPr>
          <w:trHeight w:val="1752"/>
        </w:trPr>
        <w:tc>
          <w:tcPr>
            <w:tcW w:w="351" w:type="dxa"/>
            <w:tcBorders>
              <w:top w:val="single" w:sz="6" w:space="0" w:color="000000"/>
              <w:left w:val="single" w:sz="6" w:space="0" w:color="000000"/>
              <w:bottom w:val="single" w:sz="6" w:space="0" w:color="000000"/>
              <w:right w:val="single" w:sz="6" w:space="0" w:color="000000"/>
            </w:tcBorders>
            <w:vAlign w:val="center"/>
          </w:tcPr>
          <w:p w14:paraId="466FB0CC" w14:textId="77777777" w:rsidR="008B1DFA" w:rsidRDefault="008B1DFA" w:rsidP="00966536">
            <w:pPr>
              <w:spacing w:line="259" w:lineRule="auto"/>
              <w:ind w:left="20"/>
            </w:pPr>
            <w:r>
              <w:rPr>
                <w:rFonts w:ascii="Calibri" w:eastAsia="Calibri" w:hAnsi="Calibri" w:cs="Calibri"/>
                <w:b/>
                <w:sz w:val="20"/>
              </w:rPr>
              <w:t xml:space="preserve">1 </w:t>
            </w:r>
          </w:p>
        </w:tc>
        <w:tc>
          <w:tcPr>
            <w:tcW w:w="3869" w:type="dxa"/>
            <w:tcBorders>
              <w:top w:val="single" w:sz="6" w:space="0" w:color="000000"/>
              <w:left w:val="single" w:sz="6" w:space="0" w:color="000000"/>
              <w:bottom w:val="single" w:sz="6" w:space="0" w:color="000000"/>
              <w:right w:val="single" w:sz="6" w:space="0" w:color="000000"/>
            </w:tcBorders>
          </w:tcPr>
          <w:p w14:paraId="45DE5056" w14:textId="77777777" w:rsidR="008B1DFA" w:rsidRDefault="008B1DFA" w:rsidP="00966536">
            <w:pPr>
              <w:spacing w:line="259" w:lineRule="auto"/>
            </w:pPr>
            <w:r>
              <w:rPr>
                <w:rFonts w:ascii="Calibri" w:eastAsia="Calibri" w:hAnsi="Calibri" w:cs="Calibri"/>
                <w:b/>
                <w:sz w:val="20"/>
              </w:rPr>
              <w:t xml:space="preserve">Inception phase  </w:t>
            </w:r>
          </w:p>
          <w:p w14:paraId="7CBCBEFE" w14:textId="77777777" w:rsidR="008B1DFA" w:rsidRDefault="008B1DFA" w:rsidP="00966536">
            <w:pPr>
              <w:spacing w:line="259" w:lineRule="auto"/>
              <w:ind w:right="58"/>
            </w:pPr>
            <w:r>
              <w:rPr>
                <w:sz w:val="20"/>
              </w:rPr>
              <w:t xml:space="preserve">Development of methodology, detailed workplan, stakeholder mapping, and identification of key assumptions and risks, including analytical approach to digital LSS systems and MIIEF integration  </w:t>
            </w:r>
          </w:p>
        </w:tc>
        <w:tc>
          <w:tcPr>
            <w:tcW w:w="1620" w:type="dxa"/>
            <w:tcBorders>
              <w:top w:val="single" w:sz="6" w:space="0" w:color="000000"/>
              <w:left w:val="single" w:sz="6" w:space="0" w:color="000000"/>
              <w:bottom w:val="single" w:sz="6" w:space="0" w:color="000000"/>
              <w:right w:val="single" w:sz="6" w:space="0" w:color="000000"/>
            </w:tcBorders>
            <w:vAlign w:val="center"/>
          </w:tcPr>
          <w:p w14:paraId="6FF8089D" w14:textId="77777777" w:rsidR="008B1DFA" w:rsidRDefault="008B1DFA" w:rsidP="00966536">
            <w:pPr>
              <w:spacing w:line="259" w:lineRule="auto"/>
              <w:ind w:left="89"/>
            </w:pPr>
            <w:r>
              <w:rPr>
                <w:sz w:val="20"/>
              </w:rPr>
              <w:t xml:space="preserve">Inception Report  </w:t>
            </w:r>
          </w:p>
        </w:tc>
        <w:tc>
          <w:tcPr>
            <w:tcW w:w="2160" w:type="dxa"/>
            <w:tcBorders>
              <w:top w:val="single" w:sz="6" w:space="0" w:color="000000"/>
              <w:left w:val="single" w:sz="6" w:space="0" w:color="000000"/>
              <w:bottom w:val="single" w:sz="6" w:space="0" w:color="000000"/>
              <w:right w:val="single" w:sz="6" w:space="0" w:color="000000"/>
            </w:tcBorders>
            <w:vAlign w:val="center"/>
          </w:tcPr>
          <w:p w14:paraId="196F5012" w14:textId="77777777" w:rsidR="008B1DFA" w:rsidRDefault="008B1DFA" w:rsidP="00966536">
            <w:pPr>
              <w:spacing w:line="259" w:lineRule="auto"/>
              <w:ind w:left="89"/>
            </w:pPr>
            <w:r>
              <w:rPr>
                <w:sz w:val="20"/>
              </w:rPr>
              <w:t xml:space="preserve">(10 days)  </w:t>
            </w:r>
          </w:p>
        </w:tc>
        <w:tc>
          <w:tcPr>
            <w:tcW w:w="1800" w:type="dxa"/>
            <w:tcBorders>
              <w:top w:val="single" w:sz="6" w:space="0" w:color="000000"/>
              <w:left w:val="single" w:sz="6" w:space="0" w:color="000000"/>
              <w:bottom w:val="single" w:sz="6" w:space="0" w:color="000000"/>
              <w:right w:val="single" w:sz="6" w:space="0" w:color="000000"/>
            </w:tcBorders>
            <w:vAlign w:val="center"/>
          </w:tcPr>
          <w:p w14:paraId="5E5F7EB4" w14:textId="77777777" w:rsidR="008B1DFA" w:rsidRDefault="008B1DFA" w:rsidP="00966536">
            <w:pPr>
              <w:spacing w:line="259" w:lineRule="auto"/>
            </w:pPr>
            <w:r>
              <w:rPr>
                <w:sz w:val="20"/>
              </w:rPr>
              <w:t xml:space="preserve">10%  </w:t>
            </w:r>
          </w:p>
          <w:p w14:paraId="108CBA20" w14:textId="77777777" w:rsidR="008B1DFA" w:rsidRDefault="008B1DFA" w:rsidP="00966536">
            <w:pPr>
              <w:spacing w:line="259" w:lineRule="auto"/>
            </w:pPr>
          </w:p>
        </w:tc>
      </w:tr>
      <w:tr w:rsidR="008B1DFA" w14:paraId="60F7DBF5" w14:textId="77777777" w:rsidTr="00966536">
        <w:trPr>
          <w:trHeight w:val="1006"/>
        </w:trPr>
        <w:tc>
          <w:tcPr>
            <w:tcW w:w="351" w:type="dxa"/>
            <w:tcBorders>
              <w:top w:val="single" w:sz="6" w:space="0" w:color="000000"/>
              <w:left w:val="single" w:sz="6" w:space="0" w:color="000000"/>
              <w:bottom w:val="single" w:sz="6" w:space="0" w:color="000000"/>
              <w:right w:val="single" w:sz="6" w:space="0" w:color="000000"/>
            </w:tcBorders>
            <w:vAlign w:val="center"/>
          </w:tcPr>
          <w:p w14:paraId="361E0133" w14:textId="77777777" w:rsidR="008B1DFA" w:rsidRDefault="008B1DFA" w:rsidP="00966536">
            <w:pPr>
              <w:spacing w:line="259" w:lineRule="auto"/>
              <w:ind w:left="20"/>
            </w:pPr>
            <w:r>
              <w:rPr>
                <w:rFonts w:ascii="Calibri" w:eastAsia="Calibri" w:hAnsi="Calibri" w:cs="Calibri"/>
                <w:b/>
                <w:sz w:val="20"/>
              </w:rPr>
              <w:t xml:space="preserve">2 </w:t>
            </w:r>
          </w:p>
        </w:tc>
        <w:tc>
          <w:tcPr>
            <w:tcW w:w="3869" w:type="dxa"/>
            <w:tcBorders>
              <w:top w:val="single" w:sz="6" w:space="0" w:color="000000"/>
              <w:left w:val="single" w:sz="6" w:space="0" w:color="000000"/>
              <w:bottom w:val="single" w:sz="6" w:space="0" w:color="000000"/>
              <w:right w:val="single" w:sz="6" w:space="0" w:color="000000"/>
            </w:tcBorders>
          </w:tcPr>
          <w:p w14:paraId="3820DAC5" w14:textId="77777777" w:rsidR="008B1DFA" w:rsidRDefault="008B1DFA" w:rsidP="00966536">
            <w:pPr>
              <w:spacing w:line="259" w:lineRule="auto"/>
            </w:pPr>
            <w:r>
              <w:rPr>
                <w:rFonts w:ascii="Calibri" w:eastAsia="Calibri" w:hAnsi="Calibri" w:cs="Calibri"/>
                <w:b/>
                <w:sz w:val="20"/>
              </w:rPr>
              <w:t xml:space="preserve">Workstream 1 Draft case study  </w:t>
            </w:r>
          </w:p>
          <w:p w14:paraId="5F758EDB" w14:textId="77777777" w:rsidR="008B1DFA" w:rsidRDefault="008B1DFA" w:rsidP="00966536">
            <w:pPr>
              <w:spacing w:line="259" w:lineRule="auto"/>
              <w:ind w:right="58"/>
            </w:pPr>
            <w:r>
              <w:rPr>
                <w:sz w:val="20"/>
              </w:rPr>
              <w:t xml:space="preserve">Desk review, analysis, and drafting of LSS systems, including digital learner profiling and MIIEF integration  </w:t>
            </w:r>
          </w:p>
        </w:tc>
        <w:tc>
          <w:tcPr>
            <w:tcW w:w="1620" w:type="dxa"/>
            <w:tcBorders>
              <w:top w:val="single" w:sz="6" w:space="0" w:color="000000"/>
              <w:left w:val="single" w:sz="6" w:space="0" w:color="000000"/>
              <w:bottom w:val="single" w:sz="6" w:space="0" w:color="000000"/>
              <w:right w:val="single" w:sz="6" w:space="0" w:color="000000"/>
            </w:tcBorders>
            <w:vAlign w:val="center"/>
          </w:tcPr>
          <w:p w14:paraId="3BF658DA" w14:textId="77777777" w:rsidR="008B1DFA" w:rsidRDefault="008B1DFA" w:rsidP="00966536">
            <w:pPr>
              <w:tabs>
                <w:tab w:val="right" w:pos="1484"/>
              </w:tabs>
              <w:spacing w:line="259" w:lineRule="auto"/>
            </w:pPr>
            <w:r>
              <w:rPr>
                <w:sz w:val="20"/>
              </w:rPr>
              <w:t xml:space="preserve">Draft </w:t>
            </w:r>
            <w:r>
              <w:rPr>
                <w:sz w:val="20"/>
              </w:rPr>
              <w:tab/>
              <w:t xml:space="preserve">LSS </w:t>
            </w:r>
          </w:p>
          <w:p w14:paraId="74BB6F3F" w14:textId="77777777" w:rsidR="008B1DFA" w:rsidRDefault="008B1DFA" w:rsidP="00966536">
            <w:pPr>
              <w:spacing w:line="259" w:lineRule="auto"/>
              <w:ind w:left="89"/>
            </w:pPr>
            <w:r>
              <w:rPr>
                <w:sz w:val="20"/>
              </w:rPr>
              <w:t xml:space="preserve">Country </w:t>
            </w:r>
          </w:p>
          <w:p w14:paraId="55A7ABBD" w14:textId="77777777" w:rsidR="008B1DFA" w:rsidRDefault="008B1DFA" w:rsidP="00966536">
            <w:pPr>
              <w:spacing w:line="259" w:lineRule="auto"/>
              <w:ind w:left="89"/>
            </w:pPr>
            <w:r>
              <w:rPr>
                <w:sz w:val="20"/>
              </w:rPr>
              <w:t xml:space="preserve">Case Study  </w:t>
            </w:r>
          </w:p>
        </w:tc>
        <w:tc>
          <w:tcPr>
            <w:tcW w:w="2160" w:type="dxa"/>
            <w:tcBorders>
              <w:top w:val="single" w:sz="6" w:space="0" w:color="000000"/>
              <w:left w:val="single" w:sz="6" w:space="0" w:color="000000"/>
              <w:bottom w:val="single" w:sz="6" w:space="0" w:color="000000"/>
              <w:right w:val="single" w:sz="6" w:space="0" w:color="000000"/>
            </w:tcBorders>
            <w:vAlign w:val="center"/>
          </w:tcPr>
          <w:p w14:paraId="1C744236" w14:textId="77777777" w:rsidR="008B1DFA" w:rsidRDefault="008B1DFA" w:rsidP="00966536">
            <w:pPr>
              <w:spacing w:line="259" w:lineRule="auto"/>
              <w:ind w:left="89"/>
            </w:pPr>
            <w:r>
              <w:rPr>
                <w:sz w:val="20"/>
              </w:rPr>
              <w:t xml:space="preserve">(30 days)  </w:t>
            </w:r>
          </w:p>
        </w:tc>
        <w:tc>
          <w:tcPr>
            <w:tcW w:w="1800" w:type="dxa"/>
            <w:vMerge w:val="restart"/>
            <w:tcBorders>
              <w:top w:val="single" w:sz="6" w:space="0" w:color="000000"/>
              <w:left w:val="single" w:sz="6" w:space="0" w:color="000000"/>
              <w:bottom w:val="single" w:sz="6" w:space="0" w:color="000000"/>
              <w:right w:val="single" w:sz="6" w:space="0" w:color="000000"/>
            </w:tcBorders>
            <w:vAlign w:val="center"/>
          </w:tcPr>
          <w:p w14:paraId="331CCF36" w14:textId="77777777" w:rsidR="008B1DFA" w:rsidRDefault="008B1DFA" w:rsidP="00966536">
            <w:pPr>
              <w:spacing w:line="259" w:lineRule="auto"/>
            </w:pPr>
            <w:r>
              <w:rPr>
                <w:sz w:val="20"/>
              </w:rPr>
              <w:t xml:space="preserve">20%  </w:t>
            </w:r>
          </w:p>
          <w:p w14:paraId="734609EE" w14:textId="77777777" w:rsidR="008B1DFA" w:rsidRDefault="008B1DFA" w:rsidP="00966536">
            <w:pPr>
              <w:spacing w:line="259" w:lineRule="auto"/>
            </w:pPr>
            <w:r>
              <w:rPr>
                <w:sz w:val="20"/>
              </w:rPr>
              <w:t xml:space="preserve">  </w:t>
            </w:r>
          </w:p>
        </w:tc>
      </w:tr>
      <w:tr w:rsidR="008B1DFA" w14:paraId="4FC689DA" w14:textId="77777777" w:rsidTr="00966536">
        <w:trPr>
          <w:trHeight w:val="1750"/>
        </w:trPr>
        <w:tc>
          <w:tcPr>
            <w:tcW w:w="351" w:type="dxa"/>
            <w:tcBorders>
              <w:top w:val="single" w:sz="6" w:space="0" w:color="000000"/>
              <w:left w:val="single" w:sz="6" w:space="0" w:color="000000"/>
              <w:bottom w:val="single" w:sz="6" w:space="0" w:color="000000"/>
              <w:right w:val="single" w:sz="6" w:space="0" w:color="000000"/>
            </w:tcBorders>
            <w:vAlign w:val="center"/>
          </w:tcPr>
          <w:p w14:paraId="1FBE2072" w14:textId="77777777" w:rsidR="008B1DFA" w:rsidRDefault="008B1DFA" w:rsidP="00966536">
            <w:pPr>
              <w:spacing w:line="259" w:lineRule="auto"/>
              <w:ind w:left="20"/>
            </w:pPr>
            <w:r>
              <w:rPr>
                <w:rFonts w:ascii="Calibri" w:eastAsia="Calibri" w:hAnsi="Calibri" w:cs="Calibri"/>
                <w:b/>
                <w:sz w:val="20"/>
              </w:rPr>
              <w:t xml:space="preserve">3 </w:t>
            </w:r>
          </w:p>
        </w:tc>
        <w:tc>
          <w:tcPr>
            <w:tcW w:w="3869" w:type="dxa"/>
            <w:tcBorders>
              <w:top w:val="single" w:sz="6" w:space="0" w:color="000000"/>
              <w:left w:val="single" w:sz="6" w:space="0" w:color="000000"/>
              <w:bottom w:val="single" w:sz="6" w:space="0" w:color="000000"/>
              <w:right w:val="single" w:sz="6" w:space="0" w:color="000000"/>
            </w:tcBorders>
          </w:tcPr>
          <w:p w14:paraId="5BEF721B" w14:textId="77777777" w:rsidR="008B1DFA" w:rsidRDefault="008B1DFA" w:rsidP="00966536">
            <w:pPr>
              <w:spacing w:after="2" w:line="244" w:lineRule="auto"/>
            </w:pPr>
            <w:r>
              <w:rPr>
                <w:rFonts w:ascii="Calibri" w:eastAsia="Calibri" w:hAnsi="Calibri" w:cs="Calibri"/>
                <w:b/>
                <w:sz w:val="20"/>
              </w:rPr>
              <w:t xml:space="preserve">Workstream 1 and 2: Fieldwork (Crosscutting and Parallel)  </w:t>
            </w:r>
          </w:p>
          <w:p w14:paraId="0BF95499" w14:textId="77777777" w:rsidR="008B1DFA" w:rsidRDefault="008B1DFA" w:rsidP="00966536">
            <w:pPr>
              <w:spacing w:after="2" w:line="244" w:lineRule="auto"/>
              <w:ind w:right="59"/>
            </w:pPr>
            <w:r>
              <w:rPr>
                <w:sz w:val="20"/>
              </w:rPr>
              <w:t xml:space="preserve">Conduct KIIs, FGDs, site visits (including MIIEF), and infrastructure audits; generates primary data feeding both the LSS case study and ECE </w:t>
            </w:r>
          </w:p>
          <w:p w14:paraId="772F1C70" w14:textId="77777777" w:rsidR="008B1DFA" w:rsidRDefault="008B1DFA" w:rsidP="00966536">
            <w:pPr>
              <w:spacing w:line="259" w:lineRule="auto"/>
            </w:pPr>
            <w:r>
              <w:rPr>
                <w:sz w:val="20"/>
              </w:rPr>
              <w:t xml:space="preserve">tracker development  </w:t>
            </w:r>
          </w:p>
        </w:tc>
        <w:tc>
          <w:tcPr>
            <w:tcW w:w="1620" w:type="dxa"/>
            <w:tcBorders>
              <w:top w:val="single" w:sz="6" w:space="0" w:color="000000"/>
              <w:left w:val="single" w:sz="6" w:space="0" w:color="000000"/>
              <w:bottom w:val="single" w:sz="6" w:space="0" w:color="000000"/>
              <w:right w:val="single" w:sz="6" w:space="0" w:color="000000"/>
            </w:tcBorders>
            <w:vAlign w:val="center"/>
          </w:tcPr>
          <w:p w14:paraId="6562F0FE" w14:textId="77777777" w:rsidR="008B1DFA" w:rsidRDefault="008B1DFA" w:rsidP="00966536">
            <w:pPr>
              <w:spacing w:line="259" w:lineRule="auto"/>
              <w:ind w:left="89"/>
            </w:pPr>
            <w:r>
              <w:rPr>
                <w:sz w:val="20"/>
              </w:rPr>
              <w:t xml:space="preserve">Fieldwork dataset and validated inputs  </w:t>
            </w:r>
          </w:p>
        </w:tc>
        <w:tc>
          <w:tcPr>
            <w:tcW w:w="2160" w:type="dxa"/>
            <w:tcBorders>
              <w:top w:val="single" w:sz="6" w:space="0" w:color="000000"/>
              <w:left w:val="single" w:sz="6" w:space="0" w:color="000000"/>
              <w:bottom w:val="single" w:sz="6" w:space="0" w:color="000000"/>
              <w:right w:val="single" w:sz="6" w:space="0" w:color="000000"/>
            </w:tcBorders>
            <w:vAlign w:val="center"/>
          </w:tcPr>
          <w:p w14:paraId="1FC4274D" w14:textId="77777777" w:rsidR="008B1DFA" w:rsidRDefault="008B1DFA" w:rsidP="00966536">
            <w:pPr>
              <w:spacing w:line="244" w:lineRule="auto"/>
              <w:ind w:left="89"/>
            </w:pPr>
            <w:r>
              <w:rPr>
                <w:sz w:val="20"/>
              </w:rPr>
              <w:t xml:space="preserve">(30 days parallel with WS1 and </w:t>
            </w:r>
          </w:p>
          <w:p w14:paraId="43248572" w14:textId="77777777" w:rsidR="008B1DFA" w:rsidRDefault="008B1DFA" w:rsidP="00966536">
            <w:pPr>
              <w:spacing w:line="259" w:lineRule="auto"/>
              <w:ind w:left="89"/>
            </w:pPr>
            <w:r>
              <w:rPr>
                <w:sz w:val="20"/>
              </w:rPr>
              <w:t xml:space="preserve">WS2)  </w:t>
            </w:r>
          </w:p>
        </w:tc>
        <w:tc>
          <w:tcPr>
            <w:tcW w:w="0" w:type="auto"/>
            <w:vMerge/>
            <w:tcBorders>
              <w:top w:val="nil"/>
              <w:left w:val="single" w:sz="6" w:space="0" w:color="000000"/>
              <w:bottom w:val="single" w:sz="6" w:space="0" w:color="000000"/>
              <w:right w:val="single" w:sz="6" w:space="0" w:color="000000"/>
            </w:tcBorders>
          </w:tcPr>
          <w:p w14:paraId="6B204366" w14:textId="77777777" w:rsidR="008B1DFA" w:rsidRDefault="008B1DFA" w:rsidP="00966536">
            <w:pPr>
              <w:spacing w:after="160" w:line="259" w:lineRule="auto"/>
            </w:pPr>
          </w:p>
        </w:tc>
      </w:tr>
      <w:tr w:rsidR="008B1DFA" w14:paraId="2178594E" w14:textId="77777777" w:rsidTr="00966536">
        <w:trPr>
          <w:trHeight w:val="1501"/>
        </w:trPr>
        <w:tc>
          <w:tcPr>
            <w:tcW w:w="351" w:type="dxa"/>
            <w:tcBorders>
              <w:top w:val="single" w:sz="6" w:space="0" w:color="000000"/>
              <w:left w:val="single" w:sz="6" w:space="0" w:color="000000"/>
              <w:bottom w:val="single" w:sz="6" w:space="0" w:color="000000"/>
              <w:right w:val="single" w:sz="6" w:space="0" w:color="000000"/>
            </w:tcBorders>
            <w:vAlign w:val="center"/>
          </w:tcPr>
          <w:p w14:paraId="0EA35C52" w14:textId="77777777" w:rsidR="008B1DFA" w:rsidRDefault="008B1DFA" w:rsidP="00966536">
            <w:pPr>
              <w:spacing w:line="259" w:lineRule="auto"/>
              <w:ind w:left="20"/>
            </w:pPr>
            <w:r>
              <w:rPr>
                <w:rFonts w:ascii="Calibri" w:eastAsia="Calibri" w:hAnsi="Calibri" w:cs="Calibri"/>
                <w:b/>
                <w:sz w:val="20"/>
              </w:rPr>
              <w:t xml:space="preserve">4 </w:t>
            </w:r>
          </w:p>
        </w:tc>
        <w:tc>
          <w:tcPr>
            <w:tcW w:w="3869" w:type="dxa"/>
            <w:tcBorders>
              <w:top w:val="single" w:sz="6" w:space="0" w:color="000000"/>
              <w:left w:val="single" w:sz="6" w:space="0" w:color="000000"/>
              <w:bottom w:val="single" w:sz="6" w:space="0" w:color="000000"/>
              <w:right w:val="single" w:sz="6" w:space="0" w:color="000000"/>
            </w:tcBorders>
          </w:tcPr>
          <w:p w14:paraId="2C196D63" w14:textId="3B152140" w:rsidR="008B1DFA" w:rsidRDefault="008B1DFA" w:rsidP="00966536">
            <w:pPr>
              <w:tabs>
                <w:tab w:val="center" w:pos="1753"/>
                <w:tab w:val="center" w:pos="2567"/>
                <w:tab w:val="right" w:pos="3733"/>
              </w:tabs>
              <w:spacing w:line="259" w:lineRule="auto"/>
            </w:pPr>
            <w:r>
              <w:rPr>
                <w:rFonts w:ascii="Calibri" w:eastAsia="Calibri" w:hAnsi="Calibri" w:cs="Calibri"/>
                <w:b/>
                <w:sz w:val="20"/>
              </w:rPr>
              <w:t>Workstream 2</w:t>
            </w:r>
            <w:r>
              <w:rPr>
                <w:rFonts w:ascii="Calibri" w:eastAsia="Calibri" w:hAnsi="Calibri" w:cs="Calibri"/>
                <w:b/>
                <w:sz w:val="20"/>
              </w:rPr>
              <w:t xml:space="preserve">: Draft </w:t>
            </w:r>
            <w:r>
              <w:rPr>
                <w:rFonts w:ascii="Calibri" w:eastAsia="Calibri" w:hAnsi="Calibri" w:cs="Calibri"/>
                <w:b/>
                <w:sz w:val="20"/>
              </w:rPr>
              <w:t xml:space="preserve">ECE </w:t>
            </w:r>
          </w:p>
          <w:p w14:paraId="66864043" w14:textId="77777777" w:rsidR="008B1DFA" w:rsidRDefault="008B1DFA" w:rsidP="00966536">
            <w:pPr>
              <w:spacing w:line="259" w:lineRule="auto"/>
            </w:pPr>
            <w:r>
              <w:rPr>
                <w:rFonts w:ascii="Calibri" w:eastAsia="Calibri" w:hAnsi="Calibri" w:cs="Calibri"/>
                <w:b/>
                <w:sz w:val="20"/>
              </w:rPr>
              <w:t xml:space="preserve">Accountability Tracker (Parallel)  </w:t>
            </w:r>
          </w:p>
          <w:p w14:paraId="475C2740" w14:textId="77777777" w:rsidR="008B1DFA" w:rsidRDefault="008B1DFA" w:rsidP="00966536">
            <w:pPr>
              <w:spacing w:line="259" w:lineRule="auto"/>
              <w:ind w:right="57"/>
            </w:pPr>
            <w:r>
              <w:rPr>
                <w:sz w:val="20"/>
              </w:rPr>
              <w:t xml:space="preserve">Development of indicator matrix, monitoring framework, and draft guidance note based on emerging findings from WS1  </w:t>
            </w:r>
          </w:p>
        </w:tc>
        <w:tc>
          <w:tcPr>
            <w:tcW w:w="1620" w:type="dxa"/>
            <w:tcBorders>
              <w:top w:val="single" w:sz="6" w:space="0" w:color="000000"/>
              <w:left w:val="single" w:sz="6" w:space="0" w:color="000000"/>
              <w:bottom w:val="single" w:sz="6" w:space="0" w:color="000000"/>
              <w:right w:val="single" w:sz="6" w:space="0" w:color="000000"/>
            </w:tcBorders>
            <w:vAlign w:val="center"/>
          </w:tcPr>
          <w:p w14:paraId="355AA515" w14:textId="77777777" w:rsidR="008B1DFA" w:rsidRDefault="008B1DFA" w:rsidP="00966536">
            <w:pPr>
              <w:tabs>
                <w:tab w:val="right" w:pos="1484"/>
              </w:tabs>
              <w:spacing w:line="259" w:lineRule="auto"/>
            </w:pPr>
            <w:r>
              <w:rPr>
                <w:sz w:val="20"/>
              </w:rPr>
              <w:t xml:space="preserve">Draft </w:t>
            </w:r>
            <w:r>
              <w:rPr>
                <w:sz w:val="20"/>
              </w:rPr>
              <w:tab/>
              <w:t xml:space="preserve">ECE </w:t>
            </w:r>
          </w:p>
          <w:p w14:paraId="717BE081" w14:textId="17ABCD76" w:rsidR="008B1DFA" w:rsidRDefault="008B1DFA" w:rsidP="00966536">
            <w:pPr>
              <w:spacing w:line="259" w:lineRule="auto"/>
              <w:ind w:left="89" w:right="39"/>
            </w:pPr>
            <w:r>
              <w:rPr>
                <w:sz w:val="20"/>
              </w:rPr>
              <w:t>Accountability</w:t>
            </w:r>
            <w:r>
              <w:rPr>
                <w:sz w:val="20"/>
              </w:rPr>
              <w:t xml:space="preserve"> Tracker  </w:t>
            </w:r>
          </w:p>
        </w:tc>
        <w:tc>
          <w:tcPr>
            <w:tcW w:w="2160" w:type="dxa"/>
            <w:tcBorders>
              <w:top w:val="single" w:sz="6" w:space="0" w:color="000000"/>
              <w:left w:val="single" w:sz="6" w:space="0" w:color="000000"/>
              <w:bottom w:val="single" w:sz="6" w:space="0" w:color="000000"/>
              <w:right w:val="single" w:sz="6" w:space="0" w:color="000000"/>
            </w:tcBorders>
            <w:vAlign w:val="center"/>
          </w:tcPr>
          <w:p w14:paraId="3860B8D0" w14:textId="77777777" w:rsidR="008B1DFA" w:rsidRDefault="008B1DFA" w:rsidP="00966536">
            <w:pPr>
              <w:spacing w:after="2" w:line="244" w:lineRule="auto"/>
              <w:ind w:left="89"/>
            </w:pPr>
            <w:r>
              <w:rPr>
                <w:sz w:val="20"/>
              </w:rPr>
              <w:t xml:space="preserve">(30 days; parallel with WS1 and </w:t>
            </w:r>
          </w:p>
          <w:p w14:paraId="719ED874" w14:textId="77777777" w:rsidR="008B1DFA" w:rsidRDefault="008B1DFA" w:rsidP="00966536">
            <w:pPr>
              <w:spacing w:line="259" w:lineRule="auto"/>
              <w:ind w:left="89"/>
            </w:pPr>
            <w:r>
              <w:rPr>
                <w:sz w:val="20"/>
              </w:rPr>
              <w:t xml:space="preserve">fieldwork)  </w:t>
            </w:r>
          </w:p>
        </w:tc>
        <w:tc>
          <w:tcPr>
            <w:tcW w:w="1800" w:type="dxa"/>
            <w:tcBorders>
              <w:top w:val="single" w:sz="6" w:space="0" w:color="000000"/>
              <w:left w:val="single" w:sz="6" w:space="0" w:color="000000"/>
              <w:bottom w:val="single" w:sz="6" w:space="0" w:color="000000"/>
              <w:right w:val="single" w:sz="6" w:space="0" w:color="000000"/>
            </w:tcBorders>
            <w:vAlign w:val="center"/>
          </w:tcPr>
          <w:p w14:paraId="75E2D29F" w14:textId="77777777" w:rsidR="008B1DFA" w:rsidRDefault="008B1DFA" w:rsidP="00966536">
            <w:pPr>
              <w:spacing w:line="259" w:lineRule="auto"/>
            </w:pPr>
            <w:r>
              <w:rPr>
                <w:sz w:val="20"/>
              </w:rPr>
              <w:t xml:space="preserve">15%  </w:t>
            </w:r>
          </w:p>
          <w:p w14:paraId="19B720F7" w14:textId="77777777" w:rsidR="008B1DFA" w:rsidRDefault="008B1DFA" w:rsidP="00966536">
            <w:pPr>
              <w:spacing w:line="259" w:lineRule="auto"/>
            </w:pPr>
          </w:p>
        </w:tc>
      </w:tr>
      <w:tr w:rsidR="008B1DFA" w14:paraId="45DC1AE6" w14:textId="77777777" w:rsidTr="00966536">
        <w:trPr>
          <w:trHeight w:val="758"/>
        </w:trPr>
        <w:tc>
          <w:tcPr>
            <w:tcW w:w="351" w:type="dxa"/>
            <w:tcBorders>
              <w:top w:val="single" w:sz="6" w:space="0" w:color="000000"/>
              <w:left w:val="single" w:sz="6" w:space="0" w:color="000000"/>
              <w:bottom w:val="single" w:sz="6" w:space="0" w:color="000000"/>
              <w:right w:val="single" w:sz="6" w:space="0" w:color="000000"/>
            </w:tcBorders>
            <w:vAlign w:val="center"/>
          </w:tcPr>
          <w:p w14:paraId="2106DA4F" w14:textId="77777777" w:rsidR="008B1DFA" w:rsidRDefault="008B1DFA" w:rsidP="00966536">
            <w:pPr>
              <w:spacing w:line="259" w:lineRule="auto"/>
              <w:ind w:left="20"/>
            </w:pPr>
            <w:r>
              <w:rPr>
                <w:rFonts w:ascii="Calibri" w:eastAsia="Calibri" w:hAnsi="Calibri" w:cs="Calibri"/>
                <w:b/>
                <w:sz w:val="20"/>
              </w:rPr>
              <w:t xml:space="preserve">5 </w:t>
            </w:r>
          </w:p>
        </w:tc>
        <w:tc>
          <w:tcPr>
            <w:tcW w:w="3869" w:type="dxa"/>
            <w:tcBorders>
              <w:top w:val="single" w:sz="6" w:space="0" w:color="000000"/>
              <w:left w:val="single" w:sz="6" w:space="0" w:color="000000"/>
              <w:bottom w:val="single" w:sz="6" w:space="0" w:color="000000"/>
              <w:right w:val="single" w:sz="6" w:space="0" w:color="000000"/>
            </w:tcBorders>
          </w:tcPr>
          <w:p w14:paraId="1EF1BB6E" w14:textId="77777777" w:rsidR="008B1DFA" w:rsidRDefault="008B1DFA" w:rsidP="00966536">
            <w:pPr>
              <w:spacing w:line="259" w:lineRule="auto"/>
            </w:pPr>
            <w:r>
              <w:rPr>
                <w:rFonts w:ascii="Calibri" w:eastAsia="Calibri" w:hAnsi="Calibri" w:cs="Calibri"/>
                <w:b/>
                <w:sz w:val="20"/>
              </w:rPr>
              <w:t xml:space="preserve">Workstream 1: Finalization   </w:t>
            </w:r>
          </w:p>
          <w:p w14:paraId="3AB01D50" w14:textId="77777777" w:rsidR="008B1DFA" w:rsidRDefault="008B1DFA" w:rsidP="00966536">
            <w:pPr>
              <w:spacing w:line="259" w:lineRule="auto"/>
            </w:pPr>
            <w:r>
              <w:rPr>
                <w:sz w:val="20"/>
              </w:rPr>
              <w:t xml:space="preserve">Revision and refinement of the case study based on stakeholder feedback   </w:t>
            </w:r>
          </w:p>
        </w:tc>
        <w:tc>
          <w:tcPr>
            <w:tcW w:w="1620" w:type="dxa"/>
            <w:tcBorders>
              <w:top w:val="single" w:sz="6" w:space="0" w:color="000000"/>
              <w:left w:val="single" w:sz="6" w:space="0" w:color="000000"/>
              <w:bottom w:val="single" w:sz="6" w:space="0" w:color="000000"/>
              <w:right w:val="single" w:sz="6" w:space="0" w:color="000000"/>
            </w:tcBorders>
          </w:tcPr>
          <w:p w14:paraId="1161624D" w14:textId="77777777" w:rsidR="008B1DFA" w:rsidRDefault="008B1DFA" w:rsidP="00966536">
            <w:pPr>
              <w:tabs>
                <w:tab w:val="right" w:pos="1484"/>
              </w:tabs>
              <w:spacing w:line="259" w:lineRule="auto"/>
            </w:pPr>
            <w:r>
              <w:rPr>
                <w:sz w:val="20"/>
              </w:rPr>
              <w:t xml:space="preserve">Final </w:t>
            </w:r>
            <w:r>
              <w:rPr>
                <w:sz w:val="20"/>
              </w:rPr>
              <w:tab/>
              <w:t xml:space="preserve">LSS </w:t>
            </w:r>
          </w:p>
          <w:p w14:paraId="6004EE73" w14:textId="77777777" w:rsidR="008B1DFA" w:rsidRDefault="008B1DFA" w:rsidP="00966536">
            <w:pPr>
              <w:spacing w:line="259" w:lineRule="auto"/>
              <w:ind w:left="89"/>
            </w:pPr>
            <w:r>
              <w:rPr>
                <w:sz w:val="20"/>
              </w:rPr>
              <w:t xml:space="preserve">Country </w:t>
            </w:r>
          </w:p>
          <w:p w14:paraId="383CA0BF" w14:textId="77777777" w:rsidR="008B1DFA" w:rsidRDefault="008B1DFA" w:rsidP="00966536">
            <w:pPr>
              <w:spacing w:line="259" w:lineRule="auto"/>
              <w:ind w:left="89"/>
            </w:pPr>
            <w:r>
              <w:rPr>
                <w:sz w:val="20"/>
              </w:rPr>
              <w:t xml:space="preserve">Case Study  </w:t>
            </w:r>
          </w:p>
        </w:tc>
        <w:tc>
          <w:tcPr>
            <w:tcW w:w="2160" w:type="dxa"/>
            <w:tcBorders>
              <w:top w:val="single" w:sz="6" w:space="0" w:color="000000"/>
              <w:left w:val="single" w:sz="6" w:space="0" w:color="000000"/>
              <w:bottom w:val="single" w:sz="6" w:space="0" w:color="000000"/>
              <w:right w:val="single" w:sz="6" w:space="0" w:color="000000"/>
            </w:tcBorders>
          </w:tcPr>
          <w:p w14:paraId="08EF999B" w14:textId="77777777" w:rsidR="008B1DFA" w:rsidRDefault="008B1DFA" w:rsidP="00966536">
            <w:pPr>
              <w:spacing w:line="259" w:lineRule="auto"/>
              <w:ind w:left="89"/>
            </w:pPr>
            <w:r>
              <w:rPr>
                <w:sz w:val="20"/>
              </w:rPr>
              <w:t xml:space="preserve"> (15 days)  </w:t>
            </w:r>
          </w:p>
        </w:tc>
        <w:tc>
          <w:tcPr>
            <w:tcW w:w="1800" w:type="dxa"/>
            <w:tcBorders>
              <w:top w:val="single" w:sz="6" w:space="0" w:color="000000"/>
              <w:left w:val="single" w:sz="6" w:space="0" w:color="000000"/>
              <w:bottom w:val="single" w:sz="6" w:space="0" w:color="000000"/>
              <w:right w:val="single" w:sz="6" w:space="0" w:color="000000"/>
            </w:tcBorders>
            <w:vAlign w:val="center"/>
          </w:tcPr>
          <w:p w14:paraId="6AE47718" w14:textId="77777777" w:rsidR="008B1DFA" w:rsidRDefault="008B1DFA" w:rsidP="00966536">
            <w:pPr>
              <w:spacing w:line="259" w:lineRule="auto"/>
            </w:pPr>
            <w:r>
              <w:rPr>
                <w:sz w:val="20"/>
              </w:rPr>
              <w:t xml:space="preserve">15%  </w:t>
            </w:r>
          </w:p>
          <w:p w14:paraId="59B9BEDD" w14:textId="77777777" w:rsidR="008B1DFA" w:rsidRDefault="008B1DFA" w:rsidP="00966536">
            <w:pPr>
              <w:spacing w:line="259" w:lineRule="auto"/>
            </w:pPr>
          </w:p>
        </w:tc>
      </w:tr>
      <w:tr w:rsidR="008B1DFA" w14:paraId="35238299" w14:textId="77777777" w:rsidTr="00966536">
        <w:trPr>
          <w:trHeight w:val="1255"/>
        </w:trPr>
        <w:tc>
          <w:tcPr>
            <w:tcW w:w="351" w:type="dxa"/>
            <w:tcBorders>
              <w:top w:val="single" w:sz="6" w:space="0" w:color="000000"/>
              <w:left w:val="single" w:sz="6" w:space="0" w:color="000000"/>
              <w:bottom w:val="single" w:sz="6" w:space="0" w:color="000000"/>
              <w:right w:val="single" w:sz="6" w:space="0" w:color="000000"/>
            </w:tcBorders>
            <w:vAlign w:val="center"/>
          </w:tcPr>
          <w:p w14:paraId="2800B1A3" w14:textId="77777777" w:rsidR="008B1DFA" w:rsidRDefault="008B1DFA" w:rsidP="00966536">
            <w:pPr>
              <w:spacing w:line="259" w:lineRule="auto"/>
              <w:ind w:left="20"/>
            </w:pPr>
            <w:r>
              <w:rPr>
                <w:rFonts w:ascii="Calibri" w:eastAsia="Calibri" w:hAnsi="Calibri" w:cs="Calibri"/>
                <w:b/>
                <w:sz w:val="20"/>
              </w:rPr>
              <w:t xml:space="preserve">6 </w:t>
            </w:r>
          </w:p>
        </w:tc>
        <w:tc>
          <w:tcPr>
            <w:tcW w:w="3869" w:type="dxa"/>
            <w:tcBorders>
              <w:top w:val="single" w:sz="6" w:space="0" w:color="000000"/>
              <w:left w:val="single" w:sz="6" w:space="0" w:color="000000"/>
              <w:bottom w:val="single" w:sz="6" w:space="0" w:color="000000"/>
              <w:right w:val="single" w:sz="6" w:space="0" w:color="000000"/>
            </w:tcBorders>
            <w:vAlign w:val="center"/>
          </w:tcPr>
          <w:p w14:paraId="3DAB8A04" w14:textId="32371F81" w:rsidR="008B1DFA" w:rsidRDefault="008B1DFA" w:rsidP="00966536">
            <w:pPr>
              <w:spacing w:line="259" w:lineRule="auto"/>
              <w:ind w:right="60"/>
            </w:pPr>
            <w:r>
              <w:rPr>
                <w:rFonts w:ascii="Calibri" w:eastAsia="Calibri" w:hAnsi="Calibri" w:cs="Calibri"/>
                <w:b/>
                <w:sz w:val="20"/>
              </w:rPr>
              <w:t>Workstream 2: Finalization (</w:t>
            </w:r>
            <w:r>
              <w:rPr>
                <w:rFonts w:ascii="Calibri" w:eastAsia="Calibri" w:hAnsi="Calibri" w:cs="Calibri"/>
                <w:b/>
                <w:sz w:val="20"/>
              </w:rPr>
              <w:t>Parallel) Pilot</w:t>
            </w:r>
            <w:r>
              <w:rPr>
                <w:sz w:val="20"/>
              </w:rPr>
              <w:t xml:space="preserve"> testing, validation, and refinement of the ECE Accountability Tracker and guidance note  </w:t>
            </w:r>
          </w:p>
        </w:tc>
        <w:tc>
          <w:tcPr>
            <w:tcW w:w="1620" w:type="dxa"/>
            <w:tcBorders>
              <w:top w:val="single" w:sz="6" w:space="0" w:color="000000"/>
              <w:left w:val="single" w:sz="6" w:space="0" w:color="000000"/>
              <w:bottom w:val="single" w:sz="6" w:space="0" w:color="000000"/>
              <w:right w:val="single" w:sz="6" w:space="0" w:color="000000"/>
            </w:tcBorders>
            <w:vAlign w:val="center"/>
          </w:tcPr>
          <w:p w14:paraId="78DA8016" w14:textId="77777777" w:rsidR="008B1DFA" w:rsidRDefault="008B1DFA" w:rsidP="00966536">
            <w:pPr>
              <w:spacing w:line="259" w:lineRule="auto"/>
              <w:ind w:left="89"/>
            </w:pPr>
            <w:r>
              <w:rPr>
                <w:sz w:val="20"/>
              </w:rPr>
              <w:t xml:space="preserve">Validated </w:t>
            </w:r>
          </w:p>
          <w:p w14:paraId="7170B484" w14:textId="77777777" w:rsidR="008B1DFA" w:rsidRDefault="008B1DFA" w:rsidP="00966536">
            <w:pPr>
              <w:spacing w:line="259" w:lineRule="auto"/>
              <w:ind w:left="89"/>
            </w:pPr>
            <w:r>
              <w:rPr>
                <w:sz w:val="20"/>
              </w:rPr>
              <w:t xml:space="preserve">ECE </w:t>
            </w:r>
          </w:p>
          <w:p w14:paraId="0BCA14C8" w14:textId="581D4F90" w:rsidR="008B1DFA" w:rsidRDefault="008B1DFA" w:rsidP="00966536">
            <w:pPr>
              <w:spacing w:line="259" w:lineRule="auto"/>
              <w:ind w:left="89" w:right="39"/>
            </w:pPr>
            <w:r>
              <w:rPr>
                <w:sz w:val="20"/>
              </w:rPr>
              <w:t>Accountability</w:t>
            </w:r>
            <w:r>
              <w:rPr>
                <w:sz w:val="20"/>
              </w:rPr>
              <w:t xml:space="preserve"> y Tracker  </w:t>
            </w:r>
          </w:p>
        </w:tc>
        <w:tc>
          <w:tcPr>
            <w:tcW w:w="2160" w:type="dxa"/>
            <w:tcBorders>
              <w:top w:val="single" w:sz="6" w:space="0" w:color="000000"/>
              <w:left w:val="single" w:sz="6" w:space="0" w:color="000000"/>
              <w:bottom w:val="single" w:sz="6" w:space="0" w:color="000000"/>
              <w:right w:val="single" w:sz="6" w:space="0" w:color="000000"/>
            </w:tcBorders>
          </w:tcPr>
          <w:p w14:paraId="628BF4A0" w14:textId="77777777" w:rsidR="008B1DFA" w:rsidRDefault="008B1DFA" w:rsidP="00966536">
            <w:pPr>
              <w:spacing w:after="2" w:line="244" w:lineRule="auto"/>
              <w:ind w:left="89"/>
            </w:pPr>
            <w:r>
              <w:rPr>
                <w:sz w:val="20"/>
              </w:rPr>
              <w:t xml:space="preserve">(15 days; parallel with WS1 </w:t>
            </w:r>
          </w:p>
          <w:p w14:paraId="2E349244" w14:textId="77777777" w:rsidR="008B1DFA" w:rsidRDefault="008B1DFA" w:rsidP="00966536">
            <w:pPr>
              <w:spacing w:line="259" w:lineRule="auto"/>
              <w:ind w:left="89"/>
            </w:pPr>
            <w:r>
              <w:rPr>
                <w:sz w:val="20"/>
              </w:rPr>
              <w:t xml:space="preserve">finalization)  </w:t>
            </w:r>
          </w:p>
        </w:tc>
        <w:tc>
          <w:tcPr>
            <w:tcW w:w="1800" w:type="dxa"/>
            <w:tcBorders>
              <w:top w:val="single" w:sz="6" w:space="0" w:color="000000"/>
              <w:left w:val="single" w:sz="6" w:space="0" w:color="000000"/>
              <w:bottom w:val="single" w:sz="6" w:space="0" w:color="000000"/>
              <w:right w:val="single" w:sz="6" w:space="0" w:color="000000"/>
            </w:tcBorders>
            <w:vAlign w:val="center"/>
          </w:tcPr>
          <w:p w14:paraId="31DC0303" w14:textId="77777777" w:rsidR="008B1DFA" w:rsidRDefault="008B1DFA" w:rsidP="00966536">
            <w:pPr>
              <w:spacing w:line="259" w:lineRule="auto"/>
            </w:pPr>
            <w:r>
              <w:rPr>
                <w:sz w:val="20"/>
              </w:rPr>
              <w:t xml:space="preserve">15%  </w:t>
            </w:r>
          </w:p>
          <w:p w14:paraId="606C486E" w14:textId="77777777" w:rsidR="008B1DFA" w:rsidRDefault="008B1DFA" w:rsidP="00966536">
            <w:pPr>
              <w:spacing w:line="259" w:lineRule="auto"/>
            </w:pPr>
          </w:p>
        </w:tc>
      </w:tr>
      <w:tr w:rsidR="008B1DFA" w14:paraId="650E433E" w14:textId="77777777" w:rsidTr="00966536">
        <w:trPr>
          <w:trHeight w:val="1253"/>
        </w:trPr>
        <w:tc>
          <w:tcPr>
            <w:tcW w:w="351" w:type="dxa"/>
            <w:tcBorders>
              <w:top w:val="single" w:sz="6" w:space="0" w:color="000000"/>
              <w:left w:val="single" w:sz="6" w:space="0" w:color="000000"/>
              <w:bottom w:val="single" w:sz="6" w:space="0" w:color="000000"/>
              <w:right w:val="single" w:sz="6" w:space="0" w:color="000000"/>
            </w:tcBorders>
            <w:vAlign w:val="center"/>
          </w:tcPr>
          <w:p w14:paraId="2E55EADE" w14:textId="77777777" w:rsidR="008B1DFA" w:rsidRDefault="008B1DFA" w:rsidP="00966536">
            <w:pPr>
              <w:spacing w:line="259" w:lineRule="auto"/>
              <w:ind w:left="24"/>
            </w:pPr>
            <w:r>
              <w:rPr>
                <w:rFonts w:ascii="Calibri" w:eastAsia="Calibri" w:hAnsi="Calibri" w:cs="Calibri"/>
                <w:b/>
                <w:sz w:val="20"/>
              </w:rPr>
              <w:lastRenderedPageBreak/>
              <w:t xml:space="preserve">7 </w:t>
            </w:r>
          </w:p>
        </w:tc>
        <w:tc>
          <w:tcPr>
            <w:tcW w:w="3869" w:type="dxa"/>
            <w:tcBorders>
              <w:top w:val="single" w:sz="6" w:space="0" w:color="000000"/>
              <w:left w:val="single" w:sz="6" w:space="0" w:color="000000"/>
              <w:bottom w:val="single" w:sz="6" w:space="0" w:color="000000"/>
              <w:right w:val="single" w:sz="6" w:space="0" w:color="000000"/>
            </w:tcBorders>
            <w:vAlign w:val="center"/>
          </w:tcPr>
          <w:p w14:paraId="312024D6" w14:textId="77777777" w:rsidR="008B1DFA" w:rsidRDefault="008B1DFA" w:rsidP="00966536">
            <w:pPr>
              <w:spacing w:line="259" w:lineRule="auto"/>
              <w:ind w:left="2"/>
            </w:pPr>
            <w:r>
              <w:rPr>
                <w:rFonts w:ascii="Calibri" w:eastAsia="Calibri" w:hAnsi="Calibri" w:cs="Calibri"/>
                <w:b/>
                <w:sz w:val="20"/>
              </w:rPr>
              <w:t xml:space="preserve">Workstream 3: Investment Case   </w:t>
            </w:r>
          </w:p>
          <w:p w14:paraId="3931E595" w14:textId="77777777" w:rsidR="008B1DFA" w:rsidRDefault="008B1DFA" w:rsidP="00966536">
            <w:pPr>
              <w:spacing w:after="2" w:line="244" w:lineRule="auto"/>
              <w:ind w:left="2"/>
            </w:pPr>
            <w:r>
              <w:rPr>
                <w:sz w:val="20"/>
              </w:rPr>
              <w:t xml:space="preserve">Development of costing models, macroeconomic analysis, and PF4C </w:t>
            </w:r>
          </w:p>
          <w:p w14:paraId="4A4155AD" w14:textId="77777777" w:rsidR="008B1DFA" w:rsidRDefault="008B1DFA" w:rsidP="00966536">
            <w:pPr>
              <w:spacing w:line="259" w:lineRule="auto"/>
              <w:ind w:left="2"/>
            </w:pPr>
            <w:r>
              <w:rPr>
                <w:sz w:val="20"/>
              </w:rPr>
              <w:t xml:space="preserve">fiscal space assessment  </w:t>
            </w:r>
          </w:p>
        </w:tc>
        <w:tc>
          <w:tcPr>
            <w:tcW w:w="1620" w:type="dxa"/>
            <w:tcBorders>
              <w:top w:val="single" w:sz="6" w:space="0" w:color="000000"/>
              <w:left w:val="single" w:sz="6" w:space="0" w:color="000000"/>
              <w:bottom w:val="single" w:sz="6" w:space="0" w:color="000000"/>
              <w:right w:val="single" w:sz="6" w:space="0" w:color="000000"/>
            </w:tcBorders>
          </w:tcPr>
          <w:p w14:paraId="4780B1CD" w14:textId="4316734D" w:rsidR="008B1DFA" w:rsidRDefault="008B1DFA" w:rsidP="00966536">
            <w:pPr>
              <w:spacing w:after="2" w:line="244" w:lineRule="auto"/>
              <w:ind w:left="89"/>
            </w:pPr>
            <w:r>
              <w:rPr>
                <w:sz w:val="20"/>
              </w:rPr>
              <w:t>Disability</w:t>
            </w:r>
            <w:r>
              <w:rPr>
                <w:sz w:val="20"/>
              </w:rPr>
              <w:t xml:space="preserve"> </w:t>
            </w:r>
            <w:r>
              <w:rPr>
                <w:sz w:val="20"/>
              </w:rPr>
              <w:t xml:space="preserve">Inclusive </w:t>
            </w:r>
          </w:p>
          <w:p w14:paraId="2F31EB27" w14:textId="77777777" w:rsidR="008B1DFA" w:rsidRDefault="008B1DFA" w:rsidP="00966536">
            <w:pPr>
              <w:spacing w:line="259" w:lineRule="auto"/>
              <w:ind w:left="89"/>
            </w:pPr>
            <w:r>
              <w:rPr>
                <w:sz w:val="20"/>
              </w:rPr>
              <w:t xml:space="preserve">ECE </w:t>
            </w:r>
          </w:p>
          <w:p w14:paraId="2916FD4D" w14:textId="77777777" w:rsidR="008B1DFA" w:rsidRDefault="008B1DFA" w:rsidP="00966536">
            <w:pPr>
              <w:spacing w:line="259" w:lineRule="auto"/>
              <w:ind w:left="89"/>
            </w:pPr>
            <w:r>
              <w:rPr>
                <w:sz w:val="20"/>
              </w:rPr>
              <w:t xml:space="preserve">Investment </w:t>
            </w:r>
          </w:p>
          <w:p w14:paraId="72004D69" w14:textId="77777777" w:rsidR="008B1DFA" w:rsidRDefault="008B1DFA" w:rsidP="00966536">
            <w:pPr>
              <w:spacing w:line="259" w:lineRule="auto"/>
              <w:ind w:left="89"/>
            </w:pPr>
            <w:r>
              <w:rPr>
                <w:sz w:val="20"/>
              </w:rPr>
              <w:t xml:space="preserve">Case Report  </w:t>
            </w:r>
          </w:p>
        </w:tc>
        <w:tc>
          <w:tcPr>
            <w:tcW w:w="2160" w:type="dxa"/>
            <w:tcBorders>
              <w:top w:val="single" w:sz="6" w:space="0" w:color="000000"/>
              <w:left w:val="single" w:sz="6" w:space="0" w:color="000000"/>
              <w:bottom w:val="single" w:sz="6" w:space="0" w:color="000000"/>
              <w:right w:val="single" w:sz="6" w:space="0" w:color="000000"/>
            </w:tcBorders>
            <w:vAlign w:val="center"/>
          </w:tcPr>
          <w:p w14:paraId="10A69834" w14:textId="77777777" w:rsidR="008B1DFA" w:rsidRDefault="008B1DFA" w:rsidP="00966536">
            <w:pPr>
              <w:spacing w:line="259" w:lineRule="auto"/>
              <w:ind w:left="89" w:right="59"/>
            </w:pPr>
            <w:r>
              <w:rPr>
                <w:sz w:val="20"/>
              </w:rPr>
              <w:t xml:space="preserve"> (10 days)  </w:t>
            </w:r>
          </w:p>
        </w:tc>
        <w:tc>
          <w:tcPr>
            <w:tcW w:w="1800" w:type="dxa"/>
            <w:tcBorders>
              <w:top w:val="single" w:sz="6" w:space="0" w:color="000000"/>
              <w:left w:val="single" w:sz="6" w:space="0" w:color="000000"/>
              <w:bottom w:val="single" w:sz="6" w:space="0" w:color="000000"/>
              <w:right w:val="single" w:sz="6" w:space="0" w:color="000000"/>
            </w:tcBorders>
            <w:vAlign w:val="center"/>
          </w:tcPr>
          <w:p w14:paraId="6229BB76" w14:textId="77777777" w:rsidR="008B1DFA" w:rsidRDefault="008B1DFA" w:rsidP="00966536">
            <w:pPr>
              <w:spacing w:line="259" w:lineRule="auto"/>
            </w:pPr>
            <w:r>
              <w:rPr>
                <w:sz w:val="20"/>
              </w:rPr>
              <w:t xml:space="preserve">15%  </w:t>
            </w:r>
          </w:p>
          <w:p w14:paraId="76097D06" w14:textId="77777777" w:rsidR="008B1DFA" w:rsidRDefault="008B1DFA" w:rsidP="00966536">
            <w:pPr>
              <w:spacing w:line="259" w:lineRule="auto"/>
            </w:pPr>
          </w:p>
        </w:tc>
      </w:tr>
      <w:tr w:rsidR="008B1DFA" w14:paraId="763EB73D" w14:textId="77777777" w:rsidTr="00966536">
        <w:trPr>
          <w:trHeight w:val="2294"/>
        </w:trPr>
        <w:tc>
          <w:tcPr>
            <w:tcW w:w="351" w:type="dxa"/>
            <w:tcBorders>
              <w:top w:val="single" w:sz="6" w:space="0" w:color="000000"/>
              <w:left w:val="single" w:sz="6" w:space="0" w:color="000000"/>
              <w:bottom w:val="single" w:sz="6" w:space="0" w:color="000000"/>
              <w:right w:val="single" w:sz="6" w:space="0" w:color="000000"/>
            </w:tcBorders>
            <w:vAlign w:val="center"/>
          </w:tcPr>
          <w:p w14:paraId="6F36894C" w14:textId="77777777" w:rsidR="008B1DFA" w:rsidRDefault="008B1DFA" w:rsidP="00966536">
            <w:pPr>
              <w:spacing w:line="259" w:lineRule="auto"/>
              <w:ind w:left="24"/>
            </w:pPr>
            <w:r>
              <w:rPr>
                <w:rFonts w:ascii="Calibri" w:eastAsia="Calibri" w:hAnsi="Calibri" w:cs="Calibri"/>
                <w:b/>
                <w:sz w:val="20"/>
              </w:rPr>
              <w:t xml:space="preserve">8 </w:t>
            </w:r>
          </w:p>
        </w:tc>
        <w:tc>
          <w:tcPr>
            <w:tcW w:w="3869" w:type="dxa"/>
            <w:tcBorders>
              <w:top w:val="single" w:sz="6" w:space="0" w:color="000000"/>
              <w:left w:val="single" w:sz="6" w:space="0" w:color="000000"/>
              <w:bottom w:val="single" w:sz="6" w:space="0" w:color="000000"/>
              <w:right w:val="single" w:sz="6" w:space="0" w:color="000000"/>
            </w:tcBorders>
          </w:tcPr>
          <w:p w14:paraId="1A3E1868" w14:textId="799A98C6" w:rsidR="008B1DFA" w:rsidRDefault="008B1DFA" w:rsidP="00966536">
            <w:pPr>
              <w:spacing w:after="17" w:line="244" w:lineRule="auto"/>
              <w:ind w:left="2"/>
            </w:pPr>
            <w:r>
              <w:rPr>
                <w:rFonts w:ascii="Calibri" w:eastAsia="Calibri" w:hAnsi="Calibri" w:cs="Calibri"/>
                <w:b/>
                <w:sz w:val="20"/>
              </w:rPr>
              <w:t xml:space="preserve">Workstream 3: Policy </w:t>
            </w:r>
            <w:r>
              <w:rPr>
                <w:rFonts w:ascii="Calibri" w:eastAsia="Calibri" w:hAnsi="Calibri" w:cs="Calibri"/>
                <w:b/>
                <w:sz w:val="20"/>
              </w:rPr>
              <w:t>Briefs and</w:t>
            </w:r>
            <w:r>
              <w:rPr>
                <w:rFonts w:ascii="Calibri" w:eastAsia="Calibri" w:hAnsi="Calibri" w:cs="Calibri"/>
                <w:b/>
                <w:sz w:val="20"/>
              </w:rPr>
              <w:t xml:space="preserve"> final consolidation of all </w:t>
            </w:r>
            <w:r>
              <w:rPr>
                <w:rFonts w:ascii="Calibri" w:eastAsia="Calibri" w:hAnsi="Calibri" w:cs="Calibri"/>
                <w:b/>
                <w:sz w:val="20"/>
              </w:rPr>
              <w:t>deliverables</w:t>
            </w:r>
            <w:r>
              <w:rPr>
                <w:rFonts w:ascii="Calibri" w:eastAsia="Calibri" w:hAnsi="Calibri" w:cs="Calibri"/>
                <w:b/>
                <w:sz w:val="20"/>
              </w:rPr>
              <w:t xml:space="preserve"> </w:t>
            </w:r>
          </w:p>
          <w:p w14:paraId="5B3B018E" w14:textId="77777777" w:rsidR="008B1DFA" w:rsidRDefault="008B1DFA" w:rsidP="008B1DFA">
            <w:pPr>
              <w:numPr>
                <w:ilvl w:val="0"/>
                <w:numId w:val="1"/>
              </w:numPr>
              <w:spacing w:line="275" w:lineRule="auto"/>
              <w:ind w:right="29"/>
            </w:pPr>
            <w:r>
              <w:rPr>
                <w:rFonts w:ascii="Calibri" w:eastAsia="Calibri" w:hAnsi="Calibri" w:cs="Calibri"/>
              </w:rPr>
              <w:t xml:space="preserve">Preparation of advocacy-oriented outputs targeting Government and development partners/private sector </w:t>
            </w:r>
          </w:p>
          <w:p w14:paraId="01B79223" w14:textId="77777777" w:rsidR="008B1DFA" w:rsidRDefault="008B1DFA" w:rsidP="008B1DFA">
            <w:pPr>
              <w:numPr>
                <w:ilvl w:val="0"/>
                <w:numId w:val="1"/>
              </w:numPr>
              <w:spacing w:line="259" w:lineRule="auto"/>
              <w:ind w:right="29"/>
            </w:pPr>
            <w:r>
              <w:rPr>
                <w:sz w:val="20"/>
              </w:rPr>
              <w:t xml:space="preserve">Final consolidation, quality assurance, and submission of all deliverables  </w:t>
            </w:r>
          </w:p>
        </w:tc>
        <w:tc>
          <w:tcPr>
            <w:tcW w:w="1620" w:type="dxa"/>
            <w:tcBorders>
              <w:top w:val="single" w:sz="6" w:space="0" w:color="000000"/>
              <w:left w:val="single" w:sz="6" w:space="0" w:color="000000"/>
              <w:bottom w:val="single" w:sz="6" w:space="0" w:color="000000"/>
              <w:right w:val="single" w:sz="6" w:space="0" w:color="000000"/>
            </w:tcBorders>
          </w:tcPr>
          <w:p w14:paraId="7A6DEB41" w14:textId="77777777" w:rsidR="008B1DFA" w:rsidRDefault="008B1DFA" w:rsidP="008B1DFA">
            <w:pPr>
              <w:numPr>
                <w:ilvl w:val="0"/>
                <w:numId w:val="2"/>
              </w:numPr>
              <w:spacing w:after="18" w:line="259" w:lineRule="auto"/>
            </w:pPr>
            <w:r>
              <w:rPr>
                <w:rFonts w:ascii="Calibri" w:eastAsia="Calibri" w:hAnsi="Calibri" w:cs="Calibri"/>
              </w:rPr>
              <w:t xml:space="preserve">Two Policy </w:t>
            </w:r>
          </w:p>
          <w:p w14:paraId="65E712B3" w14:textId="77777777" w:rsidR="008B1DFA" w:rsidRDefault="008B1DFA" w:rsidP="00966536">
            <w:pPr>
              <w:spacing w:after="20" w:line="259" w:lineRule="auto"/>
              <w:ind w:left="180"/>
            </w:pPr>
            <w:r>
              <w:rPr>
                <w:rFonts w:ascii="Calibri" w:eastAsia="Calibri" w:hAnsi="Calibri" w:cs="Calibri"/>
              </w:rPr>
              <w:t xml:space="preserve">Briefs  </w:t>
            </w:r>
          </w:p>
          <w:p w14:paraId="6CC55822" w14:textId="77777777" w:rsidR="008B1DFA" w:rsidRDefault="008B1DFA" w:rsidP="008B1DFA">
            <w:pPr>
              <w:numPr>
                <w:ilvl w:val="0"/>
                <w:numId w:val="2"/>
              </w:numPr>
              <w:spacing w:line="259" w:lineRule="auto"/>
            </w:pPr>
            <w:r>
              <w:rPr>
                <w:rFonts w:ascii="Calibri" w:eastAsia="Calibri" w:hAnsi="Calibri" w:cs="Calibri"/>
              </w:rPr>
              <w:t>Consolidated deliverables package</w:t>
            </w:r>
            <w:r>
              <w:rPr>
                <w:sz w:val="20"/>
              </w:rPr>
              <w:t xml:space="preserve">  </w:t>
            </w:r>
          </w:p>
        </w:tc>
        <w:tc>
          <w:tcPr>
            <w:tcW w:w="2160" w:type="dxa"/>
            <w:tcBorders>
              <w:top w:val="single" w:sz="6" w:space="0" w:color="000000"/>
              <w:left w:val="single" w:sz="6" w:space="0" w:color="000000"/>
              <w:bottom w:val="single" w:sz="6" w:space="0" w:color="000000"/>
              <w:right w:val="single" w:sz="6" w:space="0" w:color="000000"/>
            </w:tcBorders>
            <w:vAlign w:val="center"/>
          </w:tcPr>
          <w:p w14:paraId="69D2FAE6" w14:textId="77777777" w:rsidR="008B1DFA" w:rsidRDefault="008B1DFA" w:rsidP="00966536">
            <w:pPr>
              <w:spacing w:line="259" w:lineRule="auto"/>
              <w:ind w:left="89"/>
            </w:pPr>
            <w:r>
              <w:rPr>
                <w:sz w:val="20"/>
              </w:rPr>
              <w:t xml:space="preserve">(15 days)  </w:t>
            </w:r>
          </w:p>
          <w:p w14:paraId="5DF02EC8" w14:textId="77777777" w:rsidR="008B1DFA" w:rsidRDefault="008B1DFA" w:rsidP="00966536">
            <w:pPr>
              <w:spacing w:after="35" w:line="259" w:lineRule="auto"/>
              <w:ind w:left="89"/>
            </w:pPr>
            <w:r>
              <w:rPr>
                <w:sz w:val="20"/>
              </w:rPr>
              <w:t xml:space="preserve"> </w:t>
            </w:r>
          </w:p>
          <w:p w14:paraId="623F97B4" w14:textId="77777777" w:rsidR="008B1DFA" w:rsidRDefault="008B1DFA" w:rsidP="00966536">
            <w:pPr>
              <w:spacing w:line="259" w:lineRule="auto"/>
              <w:ind w:left="89"/>
            </w:pPr>
            <w:r>
              <w:rPr>
                <w:sz w:val="20"/>
              </w:rPr>
              <w:t xml:space="preserve">  </w:t>
            </w:r>
          </w:p>
        </w:tc>
        <w:tc>
          <w:tcPr>
            <w:tcW w:w="1800" w:type="dxa"/>
            <w:tcBorders>
              <w:top w:val="single" w:sz="6" w:space="0" w:color="000000"/>
              <w:left w:val="single" w:sz="6" w:space="0" w:color="000000"/>
              <w:bottom w:val="single" w:sz="6" w:space="0" w:color="000000"/>
              <w:right w:val="single" w:sz="6" w:space="0" w:color="000000"/>
            </w:tcBorders>
            <w:vAlign w:val="center"/>
          </w:tcPr>
          <w:p w14:paraId="3CABC78E" w14:textId="77777777" w:rsidR="008B1DFA" w:rsidRDefault="008B1DFA" w:rsidP="00966536">
            <w:pPr>
              <w:spacing w:line="259" w:lineRule="auto"/>
            </w:pPr>
            <w:r>
              <w:rPr>
                <w:sz w:val="20"/>
              </w:rPr>
              <w:t xml:space="preserve">10%  </w:t>
            </w:r>
          </w:p>
          <w:p w14:paraId="25137365" w14:textId="77777777" w:rsidR="008B1DFA" w:rsidRDefault="008B1DFA" w:rsidP="00966536">
            <w:pPr>
              <w:spacing w:line="259" w:lineRule="auto"/>
            </w:pPr>
          </w:p>
        </w:tc>
      </w:tr>
    </w:tbl>
    <w:p w14:paraId="5F089F49" w14:textId="77777777" w:rsidR="008B1DFA" w:rsidRDefault="008B1DFA" w:rsidP="008B1DFA">
      <w:pPr>
        <w:spacing w:after="0" w:line="259" w:lineRule="auto"/>
        <w:ind w:left="18"/>
      </w:pPr>
      <w:r>
        <w:t xml:space="preserve"> </w:t>
      </w:r>
      <w:r>
        <w:tab/>
        <w:t xml:space="preserve"> </w:t>
      </w:r>
    </w:p>
    <w:p w14:paraId="68D3A4BC" w14:textId="77777777" w:rsidR="008B1DFA" w:rsidRDefault="008B1DFA" w:rsidP="008B1DFA">
      <w:pPr>
        <w:spacing w:after="115"/>
        <w:ind w:right="48"/>
      </w:pPr>
      <w:r>
        <w:rPr>
          <w:rFonts w:ascii="Calibri" w:eastAsia="Calibri" w:hAnsi="Calibri" w:cs="Calibri"/>
          <w:b/>
        </w:rPr>
        <w:t xml:space="preserve">Note: </w:t>
      </w:r>
      <w:r>
        <w:t xml:space="preserve">During the period (30 working days), activities under Workstreams 1 and 2 will be implemented in parallel, allowing real-time integration of data collection, analysis, and tool development. Fieldwork is embedded within this same period and directly supports both the LSS Country Case Study (Workstream 1) and The ECE Accountability Tracker (Workstream 2) </w:t>
      </w:r>
    </w:p>
    <w:p w14:paraId="023F3B11" w14:textId="77777777" w:rsidR="008B1DFA" w:rsidRPr="008B1DFA" w:rsidRDefault="008B1DFA">
      <w:pPr>
        <w:rPr>
          <w:b/>
          <w:bCs/>
        </w:rPr>
      </w:pPr>
    </w:p>
    <w:sectPr w:rsidR="008B1DFA" w:rsidRPr="008B1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C19CA"/>
    <w:multiLevelType w:val="hybridMultilevel"/>
    <w:tmpl w:val="327C342A"/>
    <w:lvl w:ilvl="0" w:tplc="95021034">
      <w:start w:val="1"/>
      <w:numFmt w:val="bullet"/>
      <w:lvlText w:val="▪"/>
      <w:lvlJc w:val="left"/>
      <w:pPr>
        <w:ind w:left="1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708384C">
      <w:start w:val="1"/>
      <w:numFmt w:val="bullet"/>
      <w:lvlText w:val="o"/>
      <w:lvlJc w:val="left"/>
      <w:pPr>
        <w:ind w:left="11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77446C4">
      <w:start w:val="1"/>
      <w:numFmt w:val="bullet"/>
      <w:lvlText w:val="▪"/>
      <w:lvlJc w:val="left"/>
      <w:pPr>
        <w:ind w:left="18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C484DA2">
      <w:start w:val="1"/>
      <w:numFmt w:val="bullet"/>
      <w:lvlText w:val="•"/>
      <w:lvlJc w:val="left"/>
      <w:pPr>
        <w:ind w:left="26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AC62714">
      <w:start w:val="1"/>
      <w:numFmt w:val="bullet"/>
      <w:lvlText w:val="o"/>
      <w:lvlJc w:val="left"/>
      <w:pPr>
        <w:ind w:left="33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702D3E4">
      <w:start w:val="1"/>
      <w:numFmt w:val="bullet"/>
      <w:lvlText w:val="▪"/>
      <w:lvlJc w:val="left"/>
      <w:pPr>
        <w:ind w:left="40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27A2130">
      <w:start w:val="1"/>
      <w:numFmt w:val="bullet"/>
      <w:lvlText w:val="•"/>
      <w:lvlJc w:val="left"/>
      <w:pPr>
        <w:ind w:left="47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7E6A7AA">
      <w:start w:val="1"/>
      <w:numFmt w:val="bullet"/>
      <w:lvlText w:val="o"/>
      <w:lvlJc w:val="left"/>
      <w:pPr>
        <w:ind w:left="54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8648FCC">
      <w:start w:val="1"/>
      <w:numFmt w:val="bullet"/>
      <w:lvlText w:val="▪"/>
      <w:lvlJc w:val="left"/>
      <w:pPr>
        <w:ind w:left="62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67027C"/>
    <w:multiLevelType w:val="hybridMultilevel"/>
    <w:tmpl w:val="0A8E23BC"/>
    <w:lvl w:ilvl="0" w:tplc="4CE6A7E6">
      <w:start w:val="1"/>
      <w:numFmt w:val="bullet"/>
      <w:lvlText w:val="▪"/>
      <w:lvlJc w:val="left"/>
      <w:pPr>
        <w:ind w:left="18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1EE53EA">
      <w:start w:val="1"/>
      <w:numFmt w:val="bullet"/>
      <w:lvlText w:val="o"/>
      <w:lvlJc w:val="left"/>
      <w:pPr>
        <w:ind w:left="11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D121980">
      <w:start w:val="1"/>
      <w:numFmt w:val="bullet"/>
      <w:lvlText w:val="▪"/>
      <w:lvlJc w:val="left"/>
      <w:pPr>
        <w:ind w:left="189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3B2785E">
      <w:start w:val="1"/>
      <w:numFmt w:val="bullet"/>
      <w:lvlText w:val="•"/>
      <w:lvlJc w:val="left"/>
      <w:pPr>
        <w:ind w:left="26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036CE5C">
      <w:start w:val="1"/>
      <w:numFmt w:val="bullet"/>
      <w:lvlText w:val="o"/>
      <w:lvlJc w:val="left"/>
      <w:pPr>
        <w:ind w:left="333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FDAE8CC">
      <w:start w:val="1"/>
      <w:numFmt w:val="bullet"/>
      <w:lvlText w:val="▪"/>
      <w:lvlJc w:val="left"/>
      <w:pPr>
        <w:ind w:left="405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61C3CA0">
      <w:start w:val="1"/>
      <w:numFmt w:val="bullet"/>
      <w:lvlText w:val="•"/>
      <w:lvlJc w:val="left"/>
      <w:pPr>
        <w:ind w:left="477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6121512">
      <w:start w:val="1"/>
      <w:numFmt w:val="bullet"/>
      <w:lvlText w:val="o"/>
      <w:lvlJc w:val="left"/>
      <w:pPr>
        <w:ind w:left="549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7BC15D8">
      <w:start w:val="1"/>
      <w:numFmt w:val="bullet"/>
      <w:lvlText w:val="▪"/>
      <w:lvlJc w:val="left"/>
      <w:pPr>
        <w:ind w:left="62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230386454">
    <w:abstractNumId w:val="1"/>
  </w:num>
  <w:num w:numId="2" w16cid:durableId="1618222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DFA"/>
    <w:rsid w:val="00017397"/>
    <w:rsid w:val="00611346"/>
    <w:rsid w:val="008B1DFA"/>
    <w:rsid w:val="00DE5BB3"/>
    <w:rsid w:val="00FF5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977B7"/>
  <w15:chartTrackingRefBased/>
  <w15:docId w15:val="{12AFD115-5A9A-4876-8DCF-9189B7B13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D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D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D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D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D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D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D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D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DFA"/>
    <w:rPr>
      <w:rFonts w:eastAsiaTheme="majorEastAsia" w:cstheme="majorBidi"/>
      <w:color w:val="272727" w:themeColor="text1" w:themeTint="D8"/>
    </w:rPr>
  </w:style>
  <w:style w:type="paragraph" w:styleId="Title">
    <w:name w:val="Title"/>
    <w:basedOn w:val="Normal"/>
    <w:next w:val="Normal"/>
    <w:link w:val="TitleChar"/>
    <w:uiPriority w:val="10"/>
    <w:qFormat/>
    <w:rsid w:val="008B1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DFA"/>
    <w:pPr>
      <w:spacing w:before="160"/>
      <w:jc w:val="center"/>
    </w:pPr>
    <w:rPr>
      <w:i/>
      <w:iCs/>
      <w:color w:val="404040" w:themeColor="text1" w:themeTint="BF"/>
    </w:rPr>
  </w:style>
  <w:style w:type="character" w:customStyle="1" w:styleId="QuoteChar">
    <w:name w:val="Quote Char"/>
    <w:basedOn w:val="DefaultParagraphFont"/>
    <w:link w:val="Quote"/>
    <w:uiPriority w:val="29"/>
    <w:rsid w:val="008B1DFA"/>
    <w:rPr>
      <w:i/>
      <w:iCs/>
      <w:color w:val="404040" w:themeColor="text1" w:themeTint="BF"/>
    </w:rPr>
  </w:style>
  <w:style w:type="paragraph" w:styleId="ListParagraph">
    <w:name w:val="List Paragraph"/>
    <w:basedOn w:val="Normal"/>
    <w:uiPriority w:val="34"/>
    <w:qFormat/>
    <w:rsid w:val="008B1DFA"/>
    <w:pPr>
      <w:ind w:left="720"/>
      <w:contextualSpacing/>
    </w:pPr>
  </w:style>
  <w:style w:type="character" w:styleId="IntenseEmphasis">
    <w:name w:val="Intense Emphasis"/>
    <w:basedOn w:val="DefaultParagraphFont"/>
    <w:uiPriority w:val="21"/>
    <w:qFormat/>
    <w:rsid w:val="008B1DFA"/>
    <w:rPr>
      <w:i/>
      <w:iCs/>
      <w:color w:val="0F4761" w:themeColor="accent1" w:themeShade="BF"/>
    </w:rPr>
  </w:style>
  <w:style w:type="paragraph" w:styleId="IntenseQuote">
    <w:name w:val="Intense Quote"/>
    <w:basedOn w:val="Normal"/>
    <w:next w:val="Normal"/>
    <w:link w:val="IntenseQuoteChar"/>
    <w:uiPriority w:val="30"/>
    <w:qFormat/>
    <w:rsid w:val="008B1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DFA"/>
    <w:rPr>
      <w:i/>
      <w:iCs/>
      <w:color w:val="0F4761" w:themeColor="accent1" w:themeShade="BF"/>
    </w:rPr>
  </w:style>
  <w:style w:type="character" w:styleId="IntenseReference">
    <w:name w:val="Intense Reference"/>
    <w:basedOn w:val="DefaultParagraphFont"/>
    <w:uiPriority w:val="32"/>
    <w:qFormat/>
    <w:rsid w:val="008B1DFA"/>
    <w:rPr>
      <w:b/>
      <w:bCs/>
      <w:smallCaps/>
      <w:color w:val="0F4761" w:themeColor="accent1" w:themeShade="BF"/>
      <w:spacing w:val="5"/>
    </w:rPr>
  </w:style>
  <w:style w:type="table" w:customStyle="1" w:styleId="TableGrid">
    <w:name w:val="TableGrid"/>
    <w:rsid w:val="008B1DFA"/>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2279</Characters>
  <Application>Microsoft Office Word</Application>
  <DocSecurity>0</DocSecurity>
  <Lines>55</Lines>
  <Paragraphs>36</Paragraphs>
  <ScaleCrop>false</ScaleCrop>
  <Company>UNICEF</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Mhungu</dc:creator>
  <cp:keywords/>
  <dc:description/>
  <cp:lastModifiedBy>Olivia Mhungu</cp:lastModifiedBy>
  <cp:revision>1</cp:revision>
  <dcterms:created xsi:type="dcterms:W3CDTF">2026-09-29T10:50:00Z</dcterms:created>
  <dcterms:modified xsi:type="dcterms:W3CDTF">2026-09-29T10:52:00Z</dcterms:modified>
</cp:coreProperties>
</file>