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0862" w14:textId="16FC0B60" w:rsidR="007B5EE3" w:rsidRPr="007B5EE3" w:rsidRDefault="00273007" w:rsidP="007B5EE3">
      <w:pPr>
        <w:spacing w:before="100" w:beforeAutospacing="1" w:after="100" w:afterAutospacing="1" w:line="276" w:lineRule="auto"/>
        <w:jc w:val="center"/>
        <w:rPr>
          <w:rFonts w:ascii="Calibri" w:eastAsia="Times New Roman" w:hAnsi="Calibri" w:cs="Calibri"/>
          <w:b/>
          <w:bCs/>
          <w:color w:val="153D63" w:themeColor="text2" w:themeTint="E6"/>
          <w:kern w:val="0"/>
          <w:sz w:val="2"/>
          <w:szCs w:val="2"/>
          <w:u w:val="single"/>
          <w14:ligatures w14:val="none"/>
        </w:rPr>
      </w:pPr>
      <w:r w:rsidRPr="00273007">
        <w:rPr>
          <w:rFonts w:ascii="Calibri" w:eastAsia="Times New Roman" w:hAnsi="Calibri" w:cs="Calibri"/>
          <w:b/>
          <w:bCs/>
          <w:color w:val="153D63" w:themeColor="text2" w:themeTint="E6"/>
          <w:kern w:val="0"/>
          <w:u w:val="single"/>
          <w14:ligatures w14:val="none"/>
        </w:rPr>
        <w:t xml:space="preserve">ANNEX II </w:t>
      </w:r>
      <w:r w:rsidR="008758DD" w:rsidRPr="007B5EE3">
        <w:rPr>
          <w:rFonts w:ascii="Calibri" w:eastAsia="Times New Roman" w:hAnsi="Calibri" w:cs="Calibri"/>
          <w:b/>
          <w:bCs/>
          <w:color w:val="153D63" w:themeColor="text2" w:themeTint="E6"/>
          <w:kern w:val="0"/>
          <w:u w:val="single"/>
          <w14:ligatures w14:val="none"/>
        </w:rPr>
        <w:t>SCOPE OF WORK</w:t>
      </w:r>
      <w:r w:rsidR="005E00AC" w:rsidRPr="007B5EE3">
        <w:rPr>
          <w:rFonts w:ascii="Calibri" w:eastAsia="Times New Roman" w:hAnsi="Calibri" w:cs="Calibri"/>
          <w:b/>
          <w:bCs/>
          <w:color w:val="153D63" w:themeColor="text2" w:themeTint="E6"/>
          <w:kern w:val="0"/>
          <w:u w:val="single"/>
          <w14:ligatures w14:val="none"/>
        </w:rPr>
        <w:t xml:space="preserve">/ </w:t>
      </w:r>
      <w:r w:rsidR="007244AC" w:rsidRPr="007B5EE3">
        <w:rPr>
          <w:rFonts w:ascii="Calibri" w:eastAsia="Times New Roman" w:hAnsi="Calibri" w:cs="Calibri"/>
          <w:b/>
          <w:bCs/>
          <w:color w:val="153D63" w:themeColor="text2" w:themeTint="E6"/>
          <w:kern w:val="0"/>
          <w:u w:val="single"/>
          <w14:ligatures w14:val="none"/>
        </w:rPr>
        <w:t>TECHNICAL SPECIFICATIONS</w:t>
      </w:r>
      <w:r w:rsidR="008758DD" w:rsidRPr="007B5EE3">
        <w:rPr>
          <w:rFonts w:ascii="Calibri" w:eastAsia="Times New Roman" w:hAnsi="Calibri" w:cs="Calibri"/>
          <w:kern w:val="0"/>
          <w:u w:val="single"/>
          <w14:ligatures w14:val="none"/>
        </w:rPr>
        <w:br/>
      </w:r>
    </w:p>
    <w:p w14:paraId="2163AA63" w14:textId="77777777" w:rsidR="007B5EE3" w:rsidRDefault="008758DD" w:rsidP="00865A39">
      <w:pPr>
        <w:spacing w:before="100" w:beforeAutospacing="1" w:after="100" w:afterAutospacing="1" w:line="276" w:lineRule="auto"/>
        <w:jc w:val="center"/>
        <w:rPr>
          <w:rFonts w:ascii="Calibri" w:eastAsia="Times New Roman" w:hAnsi="Calibri" w:cs="Calibri"/>
          <w:b/>
          <w:bCs/>
          <w:kern w:val="0"/>
          <w14:ligatures w14:val="none"/>
        </w:rPr>
      </w:pPr>
      <w:r w:rsidRPr="00DD0D18">
        <w:rPr>
          <w:rFonts w:ascii="Calibri" w:eastAsia="Times New Roman" w:hAnsi="Calibri" w:cs="Calibri"/>
          <w:b/>
          <w:bCs/>
          <w:kern w:val="0"/>
          <w14:ligatures w14:val="none"/>
        </w:rPr>
        <w:t>Sudan Integrated Social Sector Infrastructure Rehabilitation Project (SISSIRP)</w:t>
      </w:r>
      <w:r w:rsidR="007B5EE3" w:rsidRPr="007B5EE3">
        <w:rPr>
          <w:rFonts w:ascii="Calibri" w:eastAsia="Times New Roman" w:hAnsi="Calibri" w:cs="Calibri"/>
          <w:b/>
          <w:bCs/>
          <w:kern w:val="0"/>
          <w14:ligatures w14:val="none"/>
        </w:rPr>
        <w:t xml:space="preserve"> </w:t>
      </w:r>
    </w:p>
    <w:p w14:paraId="1ADF9111" w14:textId="18DAEA85" w:rsidR="000C02DF" w:rsidRPr="00DD0D18" w:rsidRDefault="007B5EE3" w:rsidP="00865A39">
      <w:pPr>
        <w:spacing w:before="100" w:beforeAutospacing="1" w:after="100" w:afterAutospacing="1" w:line="276" w:lineRule="auto"/>
        <w:jc w:val="center"/>
        <w:rPr>
          <w:rFonts w:ascii="Calibri" w:eastAsia="Times New Roman" w:hAnsi="Calibri" w:cs="Calibri"/>
          <w:kern w:val="0"/>
          <w14:ligatures w14:val="none"/>
        </w:rPr>
      </w:pPr>
      <w:r w:rsidRPr="00865A39">
        <w:rPr>
          <w:rFonts w:ascii="Calibri" w:eastAsia="Times New Roman" w:hAnsi="Calibri" w:cs="Calibri"/>
          <w:b/>
          <w:bCs/>
          <w:kern w:val="0"/>
          <w14:ligatures w14:val="none"/>
        </w:rPr>
        <w:t>Doba WASH intervention</w:t>
      </w:r>
    </w:p>
    <w:p w14:paraId="4E28476E" w14:textId="3C83AC26" w:rsidR="009C2A4C" w:rsidRPr="000750DD" w:rsidRDefault="008758DD" w:rsidP="000750DD">
      <w:pPr>
        <w:numPr>
          <w:ilvl w:val="0"/>
          <w:numId w:val="1"/>
        </w:numPr>
        <w:spacing w:before="100" w:beforeAutospacing="1" w:after="100" w:afterAutospacing="1" w:line="276" w:lineRule="auto"/>
        <w:rPr>
          <w:rFonts w:ascii="Calibri" w:eastAsia="Times New Roman" w:hAnsi="Calibri" w:cs="Calibri"/>
          <w:b/>
          <w:bCs/>
          <w:color w:val="153D63" w:themeColor="text2" w:themeTint="E6"/>
          <w:kern w:val="0"/>
          <w14:ligatures w14:val="none"/>
        </w:rPr>
      </w:pPr>
      <w:r w:rsidRPr="00DD0D18">
        <w:rPr>
          <w:rFonts w:ascii="Calibri" w:eastAsia="Times New Roman" w:hAnsi="Calibri" w:cs="Calibri"/>
          <w:b/>
          <w:bCs/>
          <w:color w:val="153D63" w:themeColor="text2" w:themeTint="E6"/>
          <w:kern w:val="0"/>
          <w14:ligatures w14:val="none"/>
        </w:rPr>
        <w:t>BACKGROUND</w:t>
      </w:r>
      <w:r w:rsidR="00BE1615">
        <w:rPr>
          <w:rFonts w:ascii="Calibri" w:eastAsia="Times New Roman" w:hAnsi="Calibri" w:cs="Calibri"/>
          <w:b/>
          <w:bCs/>
          <w:color w:val="153D63" w:themeColor="text2" w:themeTint="E6"/>
          <w:kern w:val="0"/>
          <w14:ligatures w14:val="none"/>
        </w:rPr>
        <w:t xml:space="preserve"> OVERVIEW</w:t>
      </w:r>
      <w:r w:rsidR="00A717E3">
        <w:rPr>
          <w:rFonts w:ascii="Calibri" w:eastAsia="Times New Roman" w:hAnsi="Calibri" w:cs="Calibri"/>
          <w:b/>
          <w:bCs/>
          <w:color w:val="153D63" w:themeColor="text2" w:themeTint="E6"/>
          <w:kern w:val="0"/>
          <w14:ligatures w14:val="none"/>
        </w:rPr>
        <w:t>:</w:t>
      </w:r>
    </w:p>
    <w:p w14:paraId="7A49351A"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Access to reliable and safe water remains a critical challenge in Doba locality, where borehole-based systems constitute the primary source of potable water for residential communities, markets, public institutions, and service facilities. Several existing borehole systems are currently operating below optimal capacity due to constraints related to unreliable energy supply, inadequate water storage, aging or undersized pumping equipment, limited distribution coverage, and insufficient protection of key infrastructure.</w:t>
      </w:r>
    </w:p>
    <w:p w14:paraId="65872718"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proposed works will be implemented across Doba village pipe networks and four (4) existing borehole locations within Doba Administrative Unit, namely Hai Al-Oudah, Al-Masjid Al-Kabir, Al-Bayr Al-Sharqiah, and Awlad Abdalkhaliq boreholes, in addition to selected sites for new production borehole drilling. These systems serve densely populated residential areas, markets, mosques, and surrounding communities and play a central role in local water service delivery.</w:t>
      </w:r>
    </w:p>
    <w:p w14:paraId="0CF3BF4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Despite variations in system configuration and operational status, the targeted sites face common challenges, including reliance on a single energy source, limited or deteriorated elevated storage, incomplete or aging distribution networks, absence of pump houses, and exposure of mechanical, electrical, and solar components to damage, theft, and vandalism. These challenges reduce service reliability, increase operational costs, and limit equitable access to water, particularly for users located at the far ends of the networks.</w:t>
      </w:r>
    </w:p>
    <w:p w14:paraId="0CE4F7F4" w14:textId="6B177699" w:rsidR="009C2A4C" w:rsidRPr="000750DD" w:rsidRDefault="009C2A4C" w:rsidP="000750DD">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proposed intervention seeks to address these challenges through coordinated rehabilitation, upgrading, and expansion works to improve energy reliability, storage capacity, pumping efficiency, network performance, and infrastructure protection, in line with national standards and UN/INGO WASH technical guidelines.</w:t>
      </w:r>
    </w:p>
    <w:p w14:paraId="470902B6" w14:textId="77777777" w:rsidR="009C2A4C" w:rsidRPr="000750DD" w:rsidRDefault="009C2A4C" w:rsidP="000750DD">
      <w:pPr>
        <w:spacing w:line="259" w:lineRule="auto"/>
        <w:ind w:left="360"/>
        <w:rPr>
          <w:rFonts w:asciiTheme="majorHAnsi" w:eastAsia="Times New Roman" w:hAnsiTheme="majorHAnsi" w:cs="Times New Roman"/>
          <w:color w:val="000000"/>
          <w:kern w:val="0"/>
          <w:sz w:val="22"/>
          <w:szCs w:val="22"/>
          <w14:ligatures w14:val="none"/>
        </w:rPr>
      </w:pPr>
      <w:r w:rsidRPr="000750DD">
        <w:rPr>
          <w:rFonts w:asciiTheme="majorHAnsi" w:eastAsia="Times New Roman" w:hAnsiTheme="majorHAnsi" w:cs="Times New Roman"/>
          <w:color w:val="000000"/>
          <w:kern w:val="0"/>
          <w:sz w:val="22"/>
          <w:szCs w:val="22"/>
          <w14:ligatures w14:val="none"/>
        </w:rPr>
        <w:t>2</w:t>
      </w:r>
      <w:r w:rsidRPr="000750DD">
        <w:rPr>
          <w:rFonts w:asciiTheme="majorHAnsi" w:eastAsia="Times New Roman" w:hAnsiTheme="majorHAnsi" w:cs="Times New Roman"/>
          <w:b/>
          <w:bCs/>
          <w:color w:val="000000"/>
          <w:kern w:val="0"/>
          <w:sz w:val="22"/>
          <w:szCs w:val="22"/>
          <w14:ligatures w14:val="none"/>
        </w:rPr>
        <w:t>. Overall objective</w:t>
      </w:r>
    </w:p>
    <w:p w14:paraId="3FB9ED5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objective of this scope of work is to rehabilitate, upgrade, and operationalize multiple borehole-based water supply systems in Doba locality to ensure reliable, safe, and equitable access to potable water. The interventions aim to enhance energy reliability through hybrid solar-grid solutions, improve storage and distribution capacity, strengthen infrastructure protection, and promote overall system sustainability, in accordance with national standards and the requirements of UN agencies and international NGOs.</w:t>
      </w:r>
    </w:p>
    <w:p w14:paraId="0CB2B0EC" w14:textId="77777777" w:rsidR="009C2A4C" w:rsidRPr="000750DD" w:rsidRDefault="009C2A4C" w:rsidP="000750DD">
      <w:pPr>
        <w:spacing w:line="259" w:lineRule="auto"/>
        <w:ind w:left="360"/>
        <w:rPr>
          <w:rFonts w:asciiTheme="majorHAnsi" w:eastAsia="Times New Roman" w:hAnsiTheme="majorHAnsi" w:cs="Times New Roman"/>
          <w:b/>
          <w:bCs/>
          <w:color w:val="000000"/>
          <w:kern w:val="0"/>
          <w:sz w:val="22"/>
          <w:szCs w:val="22"/>
          <w14:ligatures w14:val="none"/>
        </w:rPr>
      </w:pPr>
      <w:r w:rsidRPr="000750DD">
        <w:rPr>
          <w:rFonts w:asciiTheme="majorHAnsi" w:eastAsia="Times New Roman" w:hAnsiTheme="majorHAnsi" w:cs="Times New Roman"/>
          <w:b/>
          <w:bCs/>
          <w:color w:val="000000"/>
          <w:kern w:val="0"/>
          <w:sz w:val="22"/>
          <w:szCs w:val="22"/>
          <w14:ligatures w14:val="none"/>
        </w:rPr>
        <w:t>3. Scope of work</w:t>
      </w:r>
    </w:p>
    <w:p w14:paraId="3E3A09E7" w14:textId="77777777" w:rsid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 xml:space="preserve">The Contractor shall provide all labor, materials, equipment, tools, transportation, supervision, and all other resources necessary to complete the works described herein across the targeted borehole sites and distribution networks. The Contractor shall submit samples, </w:t>
      </w:r>
      <w:r w:rsidRPr="009C2A4C">
        <w:rPr>
          <w:rFonts w:asciiTheme="majorHAnsi" w:eastAsia="Times New Roman" w:hAnsiTheme="majorHAnsi" w:cs="Times New Roman"/>
          <w:color w:val="000000"/>
          <w:kern w:val="0"/>
          <w:sz w:val="22"/>
          <w:szCs w:val="22"/>
          <w14:ligatures w14:val="none"/>
        </w:rPr>
        <w:lastRenderedPageBreak/>
        <w:t>catalogues, technical data sheets, and quality/compliance certificates for all materials, equipment, and items requiring approval prior to procurement, delivery, or installation.</w:t>
      </w:r>
    </w:p>
    <w:p w14:paraId="09B911BC" w14:textId="5DFAD56C" w:rsidR="00B26328" w:rsidRPr="009C2A4C" w:rsidRDefault="00F532DA"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275137">
        <w:t>The Contractor shall engage a qualified Civil Engineer and (other specialties to be added as needed) to supervise and oversee the execution of the relevant works throughout the project implementation</w:t>
      </w:r>
      <w:r w:rsidR="00050790">
        <w:t>.</w:t>
      </w:r>
    </w:p>
    <w:p w14:paraId="539AB749" w14:textId="77777777" w:rsidR="009C2A4C" w:rsidRPr="000750DD" w:rsidRDefault="009C2A4C" w:rsidP="000750DD">
      <w:pPr>
        <w:spacing w:line="259" w:lineRule="auto"/>
        <w:ind w:left="360"/>
        <w:rPr>
          <w:rFonts w:asciiTheme="majorHAnsi" w:eastAsia="Times New Roman" w:hAnsiTheme="majorHAnsi" w:cs="Times New Roman"/>
          <w:b/>
          <w:bCs/>
          <w:color w:val="000000"/>
          <w:kern w:val="0"/>
          <w:sz w:val="22"/>
          <w:szCs w:val="22"/>
          <w14:ligatures w14:val="none"/>
        </w:rPr>
      </w:pPr>
      <w:r w:rsidRPr="000750DD">
        <w:rPr>
          <w:rFonts w:asciiTheme="majorHAnsi" w:eastAsia="Times New Roman" w:hAnsiTheme="majorHAnsi" w:cs="Times New Roman"/>
          <w:b/>
          <w:bCs/>
          <w:color w:val="000000"/>
          <w:kern w:val="0"/>
          <w:sz w:val="22"/>
          <w:szCs w:val="22"/>
          <w14:ligatures w14:val="none"/>
        </w:rPr>
        <w:t>3.1 Power supply and energy systems</w:t>
      </w:r>
    </w:p>
    <w:p w14:paraId="71765996"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Extension and/or upgrading of borehole power supply systems, including connection to the national electricity grid where applicable, through supply and installation of transformers, electrical lines, metering systems, and associated electrical works.</w:t>
      </w:r>
    </w:p>
    <w:p w14:paraId="6457C92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solar power systems compatible with borehole pumping units to enhance energy reliability and reduce operational costs.</w:t>
      </w:r>
    </w:p>
    <w:p w14:paraId="16CD9C9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hybrid power changeover systems to enable flexible operation between grid electricity and solar power.</w:t>
      </w:r>
    </w:p>
    <w:p w14:paraId="68FD0D24"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Replacement of undersized or damaged electrical cables and accessories where required.</w:t>
      </w:r>
    </w:p>
    <w:p w14:paraId="4EEE186F"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earthing, lightning protection systems, and electrical protection devices for all electrical and solar installations.</w:t>
      </w:r>
    </w:p>
    <w:p w14:paraId="1F2C4BEB"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Full coordination with the relevant electricity authorities and compliance with national electrical codes and standards.</w:t>
      </w:r>
    </w:p>
    <w:p w14:paraId="016937F0" w14:textId="77777777" w:rsidR="009C2A4C" w:rsidRPr="000750DD" w:rsidRDefault="009C2A4C" w:rsidP="000750DD">
      <w:pPr>
        <w:spacing w:line="259" w:lineRule="auto"/>
        <w:ind w:left="360"/>
        <w:rPr>
          <w:rFonts w:asciiTheme="majorHAnsi" w:eastAsia="Times New Roman" w:hAnsiTheme="majorHAnsi" w:cs="Times New Roman"/>
          <w:b/>
          <w:bCs/>
          <w:color w:val="000000"/>
          <w:kern w:val="0"/>
          <w:sz w:val="22"/>
          <w:szCs w:val="22"/>
          <w14:ligatures w14:val="none"/>
        </w:rPr>
      </w:pPr>
      <w:r w:rsidRPr="000750DD">
        <w:rPr>
          <w:rFonts w:asciiTheme="majorHAnsi" w:eastAsia="Times New Roman" w:hAnsiTheme="majorHAnsi" w:cs="Times New Roman"/>
          <w:b/>
          <w:bCs/>
          <w:color w:val="000000"/>
          <w:kern w:val="0"/>
          <w:sz w:val="22"/>
          <w:szCs w:val="22"/>
          <w14:ligatures w14:val="none"/>
        </w:rPr>
        <w:t>3.2 Pumping systems and mechanical works</w:t>
      </w:r>
    </w:p>
    <w:p w14:paraId="3C93A331"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Drilling of new production boreholes where specified, including borehole logging and completion works.</w:t>
      </w:r>
    </w:p>
    <w:p w14:paraId="06E860B4"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Conducting pumping tests, recovery tests, and water quality testing for newly drilled boreholes.</w:t>
      </w:r>
    </w:p>
    <w:p w14:paraId="1BD2866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installation, testing, and commissioning of complete pumping units, including submersible pumps, motors, rising mains, electrical cabling, control panels, and protection systems.</w:t>
      </w:r>
    </w:p>
    <w:p w14:paraId="767BBD70"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Removal and replacement of existing undersized or inefficient pumping units where required.</w:t>
      </w:r>
    </w:p>
    <w:p w14:paraId="041F7A96"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Borehole development, including continuous pumping, well cleaning, and performance monitoring.</w:t>
      </w:r>
    </w:p>
    <w:p w14:paraId="46AE7A9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Testing, calibration, and commissioning of pumping systems to ensure optimal yield, efficiency, and operational reliability.</w:t>
      </w:r>
    </w:p>
    <w:p w14:paraId="2EA12814"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borehole headworks, sanitary seals, and borehole protection measure.</w:t>
      </w:r>
    </w:p>
    <w:p w14:paraId="778B5676" w14:textId="77777777" w:rsidR="009C2A4C" w:rsidRPr="000750DD" w:rsidRDefault="009C2A4C" w:rsidP="000750DD">
      <w:pPr>
        <w:spacing w:line="259" w:lineRule="auto"/>
        <w:ind w:left="360"/>
        <w:rPr>
          <w:rFonts w:asciiTheme="majorHAnsi" w:eastAsia="Times New Roman" w:hAnsiTheme="majorHAnsi" w:cs="Times New Roman"/>
          <w:b/>
          <w:bCs/>
          <w:color w:val="000000"/>
          <w:kern w:val="0"/>
          <w:sz w:val="22"/>
          <w:szCs w:val="22"/>
          <w14:ligatures w14:val="none"/>
        </w:rPr>
      </w:pPr>
      <w:r w:rsidRPr="000750DD">
        <w:rPr>
          <w:rFonts w:asciiTheme="majorHAnsi" w:eastAsia="Times New Roman" w:hAnsiTheme="majorHAnsi" w:cs="Times New Roman"/>
          <w:b/>
          <w:bCs/>
          <w:color w:val="000000"/>
          <w:kern w:val="0"/>
          <w:sz w:val="22"/>
          <w:szCs w:val="22"/>
          <w14:ligatures w14:val="none"/>
        </w:rPr>
        <w:t>3.3 Water storage infrastructure</w:t>
      </w:r>
    </w:p>
    <w:p w14:paraId="3780ECD8"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fabrication, and construction of elevated steel water storage tanks, including 50 and 15 cubic meter tanks mounted on 6-meter-high towers, to improve system pressure and ensure equitable distribution.</w:t>
      </w:r>
    </w:p>
    <w:p w14:paraId="680AFD9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Construction of reinforced concrete foundations, steel towers, access ladders, safety railings, and all inlet, outlet, scour, overflow, and vent arrangements.</w:t>
      </w:r>
    </w:p>
    <w:p w14:paraId="08AFBC5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lastRenderedPageBreak/>
        <w:t xml:space="preserve"> Supply and installation of all necessary tank accessories, including internal and external ladders, level indicators, walkway platforms, handrails, valves, and associated pipework.</w:t>
      </w:r>
    </w:p>
    <w:p w14:paraId="58D8FC58"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Provision of anti-corrosion protection systems and structural bracing for steel tank structures where required.</w:t>
      </w:r>
    </w:p>
    <w:p w14:paraId="1755924A"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Repair and rehabilitation of existing elevated tanks, including sealing of structural damage, surface treatment, anti-corrosion protection, repainting, and installation of float valves.</w:t>
      </w:r>
    </w:p>
    <w:p w14:paraId="48D9DDF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Integration of storage facilities with existing pumping and distribution systems.</w:t>
      </w:r>
    </w:p>
    <w:p w14:paraId="51A43341" w14:textId="77777777" w:rsidR="00532BF2" w:rsidRDefault="00532BF2" w:rsidP="00532BF2">
      <w:pPr>
        <w:pStyle w:val="ListParagraph"/>
        <w:spacing w:line="259" w:lineRule="auto"/>
        <w:rPr>
          <w:rFonts w:asciiTheme="majorHAnsi" w:eastAsia="Times New Roman" w:hAnsiTheme="majorHAnsi" w:cs="Times New Roman"/>
          <w:b/>
          <w:bCs/>
          <w:color w:val="000000"/>
          <w:kern w:val="0"/>
          <w:sz w:val="22"/>
          <w:szCs w:val="22"/>
          <w14:ligatures w14:val="none"/>
        </w:rPr>
      </w:pPr>
    </w:p>
    <w:p w14:paraId="69248E8A" w14:textId="24545095" w:rsidR="009C2A4C" w:rsidRPr="009C2A4C" w:rsidRDefault="009C2A4C" w:rsidP="00532BF2">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3.4 Distribution network development and rehabilitation</w:t>
      </w:r>
    </w:p>
    <w:p w14:paraId="3A7D271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Rehabilitation and replacement of deteriorated and leaking distribution pipelines.</w:t>
      </w:r>
    </w:p>
    <w:p w14:paraId="6E525B5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Expansion of water distribution networks to unserved or underserved areas.</w:t>
      </w:r>
    </w:p>
    <w:p w14:paraId="6887610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HDPE water pipelines of various diameters and pressure ratings, including all fittings, valves, air release systems, washouts, and chambers.</w:t>
      </w:r>
    </w:p>
    <w:p w14:paraId="2CA2924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all required appurtenances including tees, elbows, reducers, end caps, flange adaptors, gate valves, and associated chambers.</w:t>
      </w:r>
    </w:p>
    <w:p w14:paraId="73D278DE"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Trenching, bedding, pipe laying, jointing, backfilling, compaction, pressure testing, and reinstatement of affected surfaces.</w:t>
      </w:r>
    </w:p>
    <w:p w14:paraId="6C73DD00" w14:textId="77777777" w:rsidR="009C2A4C" w:rsidRPr="009C2A4C" w:rsidRDefault="009C2A4C" w:rsidP="007B5EE3">
      <w:pPr>
        <w:pStyle w:val="ListParagraph"/>
        <w:spacing w:line="259" w:lineRule="auto"/>
        <w:rPr>
          <w:rFonts w:asciiTheme="majorHAnsi" w:eastAsia="Times New Roman" w:hAnsiTheme="majorHAnsi" w:cs="Times New Roman"/>
          <w:color w:val="000000"/>
          <w:kern w:val="0"/>
          <w:sz w:val="22"/>
          <w:szCs w:val="22"/>
          <w14:ligatures w14:val="none"/>
        </w:rPr>
      </w:pPr>
    </w:p>
    <w:p w14:paraId="33F228AF" w14:textId="77777777" w:rsidR="009C2A4C" w:rsidRPr="009C2A4C" w:rsidRDefault="009C2A4C" w:rsidP="00532BF2">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3.5 Civil works and protective structures</w:t>
      </w:r>
    </w:p>
    <w:p w14:paraId="6C0F99C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Construction of concrete foundations and support structures for solar arrays, transformers, and other electrical installations where required.</w:t>
      </w:r>
    </w:p>
    <w:p w14:paraId="2D8AC60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Construction of pump houses to safely accommodate mechanical, electrical, and control equipment.</w:t>
      </w:r>
    </w:p>
    <w:p w14:paraId="3FDBBB82"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Demolition or removal of inadequate existing structures where required.</w:t>
      </w:r>
    </w:p>
    <w:p w14:paraId="6BB5303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Construction of reinforced concrete foundations, masonry works, roofing, ventilation systems, lockable doors, and internal fittings suitable for water infrastructure facilities.</w:t>
      </w:r>
    </w:p>
    <w:p w14:paraId="2C3C263B" w14:textId="77777777" w:rsidR="00532BF2" w:rsidRDefault="00532BF2" w:rsidP="00532BF2">
      <w:pPr>
        <w:pStyle w:val="ListParagraph"/>
        <w:spacing w:line="259" w:lineRule="auto"/>
        <w:rPr>
          <w:rFonts w:asciiTheme="majorHAnsi" w:eastAsia="Times New Roman" w:hAnsiTheme="majorHAnsi" w:cs="Times New Roman"/>
          <w:b/>
          <w:bCs/>
          <w:color w:val="000000"/>
          <w:kern w:val="0"/>
          <w:sz w:val="22"/>
          <w:szCs w:val="22"/>
          <w14:ligatures w14:val="none"/>
        </w:rPr>
      </w:pPr>
    </w:p>
    <w:p w14:paraId="2107541F" w14:textId="234F1743" w:rsidR="009C2A4C" w:rsidRPr="009C2A4C" w:rsidRDefault="009C2A4C" w:rsidP="00532BF2">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3.6 Site protection and safety</w:t>
      </w:r>
    </w:p>
    <w:p w14:paraId="3132EE46"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Installation of perimeter fencing around boreholes, pump houses, solar systems, transformers, and water storage facilities to prevent vandalism and unauthorized access.</w:t>
      </w:r>
    </w:p>
    <w:p w14:paraId="09EBB21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Provision of access gates, warning signage, and safety features in accordance with WASH standards and occupational safety requirements.</w:t>
      </w:r>
    </w:p>
    <w:p w14:paraId="321B30AF"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Supply and installation of project identification signboards at locations approved by the Employer.</w:t>
      </w:r>
    </w:p>
    <w:p w14:paraId="20128E2E" w14:textId="77777777" w:rsidR="00532BF2" w:rsidRDefault="00532BF2" w:rsidP="00532BF2">
      <w:pPr>
        <w:pStyle w:val="ListParagraph"/>
        <w:spacing w:line="259" w:lineRule="auto"/>
        <w:rPr>
          <w:rFonts w:asciiTheme="majorHAnsi" w:eastAsia="Times New Roman" w:hAnsiTheme="majorHAnsi" w:cs="Times New Roman"/>
          <w:b/>
          <w:bCs/>
          <w:color w:val="000000"/>
          <w:kern w:val="0"/>
          <w:sz w:val="22"/>
          <w:szCs w:val="22"/>
          <w14:ligatures w14:val="none"/>
        </w:rPr>
      </w:pPr>
    </w:p>
    <w:p w14:paraId="582782BD" w14:textId="2D5B3BD1" w:rsidR="009C2A4C" w:rsidRPr="009C2A4C" w:rsidRDefault="009C2A4C" w:rsidP="00532BF2">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3.7 Testing, commissioning, and handover</w:t>
      </w:r>
    </w:p>
    <w:p w14:paraId="7ECF6C57"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Hydraulic pressure testing of pipelines and hydrostatic testing of storage tanks.</w:t>
      </w:r>
    </w:p>
    <w:p w14:paraId="767C441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Electrical testing and safety verification of power and control systems.</w:t>
      </w:r>
    </w:p>
    <w:p w14:paraId="184CCAD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System commissioning in the presence of the supervising engineer, local water authorities, and relevant stakeholders.</w:t>
      </w:r>
    </w:p>
    <w:p w14:paraId="550EABF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Training of local operators and provision of basic operation and maintenance guidance.</w:t>
      </w:r>
    </w:p>
    <w:p w14:paraId="7FC38244" w14:textId="77777777" w:rsidR="007B5EE3" w:rsidRDefault="007B5EE3" w:rsidP="007B5EE3">
      <w:pPr>
        <w:pStyle w:val="ListParagraph"/>
        <w:spacing w:line="259" w:lineRule="auto"/>
        <w:rPr>
          <w:rFonts w:asciiTheme="majorHAnsi" w:eastAsia="Times New Roman" w:hAnsiTheme="majorHAnsi" w:cs="Times New Roman"/>
          <w:b/>
          <w:bCs/>
          <w:color w:val="000000"/>
          <w:kern w:val="0"/>
          <w:sz w:val="22"/>
          <w:szCs w:val="22"/>
          <w14:ligatures w14:val="none"/>
        </w:rPr>
      </w:pPr>
    </w:p>
    <w:p w14:paraId="2EE8FBDA" w14:textId="63885220" w:rsidR="009C2A4C" w:rsidRPr="009C2A4C" w:rsidRDefault="009C2A4C" w:rsidP="007B5EE3">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4. Construction and installation requirements</w:t>
      </w:r>
    </w:p>
    <w:p w14:paraId="3B12A61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w:t>
      </w:r>
    </w:p>
    <w:p w14:paraId="557AE6FF"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lastRenderedPageBreak/>
        <w:t>Carry out excavation, shoring, dewatering (where required), pipe laying, jointing, backfilling, and compaction in accordance with approved technical standards.</w:t>
      </w:r>
    </w:p>
    <w:p w14:paraId="66FC9D46"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Ensure proper handling and disposal of obsolete or hazardous materials (where applicable), including asbestos pipes where encountered, in line with national regulations and international environmental and occupational safety standards.</w:t>
      </w:r>
    </w:p>
    <w:p w14:paraId="042A8211"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Protect existing utilities and reinstate any damaged infrastructure (roads, sidewalks, drainage systems, etc.) to their original or improved condition.</w:t>
      </w:r>
    </w:p>
    <w:p w14:paraId="6DCC6E69"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Maintain continuous coordination with the State Water Corporation and relevant authorities throughout implementation.</w:t>
      </w:r>
    </w:p>
    <w:p w14:paraId="4B24F2ED" w14:textId="77777777" w:rsidR="007B5EE3" w:rsidRDefault="007B5EE3" w:rsidP="007B5EE3">
      <w:pPr>
        <w:pStyle w:val="ListParagraph"/>
        <w:spacing w:line="259" w:lineRule="auto"/>
        <w:rPr>
          <w:rFonts w:asciiTheme="majorHAnsi" w:eastAsia="Times New Roman" w:hAnsiTheme="majorHAnsi" w:cs="Times New Roman"/>
          <w:b/>
          <w:bCs/>
          <w:color w:val="000000"/>
          <w:kern w:val="0"/>
          <w:sz w:val="22"/>
          <w:szCs w:val="22"/>
          <w14:ligatures w14:val="none"/>
        </w:rPr>
      </w:pPr>
    </w:p>
    <w:p w14:paraId="56B4A0BD" w14:textId="2A3194C4" w:rsidR="009C2A4C" w:rsidRPr="009C2A4C" w:rsidRDefault="009C2A4C" w:rsidP="007B5EE3">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5. Testing, disinfection, and commissioning</w:t>
      </w:r>
    </w:p>
    <w:p w14:paraId="6A87506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w:t>
      </w:r>
    </w:p>
    <w:p w14:paraId="64241572"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Conduct hydraulic pressure testing of all installed pipelines in the presence of the supervising engineer and the State Water Corporation representative.</w:t>
      </w:r>
    </w:p>
    <w:p w14:paraId="57579FB0"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Carry out flushing and disinfection of pipelines and storage systems prior to commissioning.</w:t>
      </w:r>
    </w:p>
    <w:p w14:paraId="579604A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Rectify any defects, leakages, or deficiencies identified during testing.</w:t>
      </w:r>
    </w:p>
    <w:p w14:paraId="313D026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Submit test results, water quality analysis reports, and commissioning documentation for approval.</w:t>
      </w:r>
    </w:p>
    <w:p w14:paraId="0C915EA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Submit borehole drilling records, pumping test results, and water quality analysis reports for newly drilled boreholes.</w:t>
      </w:r>
    </w:p>
    <w:p w14:paraId="3FE888C7" w14:textId="77777777" w:rsidR="009C2A4C" w:rsidRPr="009C2A4C" w:rsidRDefault="009C2A4C" w:rsidP="007B5EE3">
      <w:pPr>
        <w:pStyle w:val="ListParagraph"/>
        <w:spacing w:line="259" w:lineRule="auto"/>
        <w:rPr>
          <w:rFonts w:asciiTheme="majorHAnsi" w:eastAsia="Times New Roman" w:hAnsiTheme="majorHAnsi" w:cs="Times New Roman"/>
          <w:b/>
          <w:bCs/>
          <w:color w:val="000000"/>
          <w:kern w:val="0"/>
          <w:sz w:val="22"/>
          <w:szCs w:val="22"/>
          <w14:ligatures w14:val="none"/>
        </w:rPr>
      </w:pPr>
    </w:p>
    <w:p w14:paraId="56D413E8" w14:textId="77777777" w:rsidR="009C2A4C" w:rsidRPr="009C2A4C" w:rsidRDefault="009C2A4C" w:rsidP="007B5EE3">
      <w:pPr>
        <w:pStyle w:val="ListParagraph"/>
        <w:spacing w:line="259" w:lineRule="auto"/>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6. Health, safety, and environmental requirements</w:t>
      </w:r>
    </w:p>
    <w:p w14:paraId="210C8E6A"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w:t>
      </w:r>
    </w:p>
    <w:p w14:paraId="79C037E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Develop and implement a site-specific Health, Safety, and Environmental Plan.</w:t>
      </w:r>
    </w:p>
    <w:p w14:paraId="5E2D3FA8"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Ensure safe handling, storage, and disposal of hazardous and construction materials.</w:t>
      </w:r>
    </w:p>
    <w:p w14:paraId="08EFE66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Provide adequate Personal Protective Equipment (PPE) to all workers.</w:t>
      </w:r>
    </w:p>
    <w:p w14:paraId="7667A7A1"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Minimize dust, noise, and disruption to surrounding communities.</w:t>
      </w:r>
    </w:p>
    <w:p w14:paraId="0196C8FF"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Comply with all applicable national laws and UN environmental and social safeguard policies.</w:t>
      </w:r>
    </w:p>
    <w:p w14:paraId="10A99BB5" w14:textId="77777777" w:rsidR="009C2A4C" w:rsidRPr="00532BF2" w:rsidRDefault="009C2A4C" w:rsidP="000750DD">
      <w:pPr>
        <w:pStyle w:val="ListParagraph"/>
        <w:spacing w:line="259" w:lineRule="auto"/>
        <w:rPr>
          <w:rFonts w:asciiTheme="majorHAnsi" w:eastAsia="Times New Roman" w:hAnsiTheme="majorHAnsi" w:cs="Times New Roman"/>
          <w:b/>
          <w:bCs/>
          <w:color w:val="000000"/>
          <w:kern w:val="0"/>
          <w:sz w:val="2"/>
          <w:szCs w:val="2"/>
          <w14:ligatures w14:val="none"/>
        </w:rPr>
      </w:pPr>
    </w:p>
    <w:p w14:paraId="55C723A7" w14:textId="77777777" w:rsidR="009C2A4C" w:rsidRPr="009C2A4C" w:rsidRDefault="009C2A4C" w:rsidP="009C2A4C">
      <w:pPr>
        <w:spacing w:line="259" w:lineRule="auto"/>
        <w:ind w:left="360"/>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7. Deliverables</w:t>
      </w:r>
    </w:p>
    <w:p w14:paraId="53AFAC26"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 submit, at a minimum:</w:t>
      </w:r>
    </w:p>
    <w:p w14:paraId="156C144F"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Approved work plan and implementation schedule</w:t>
      </w:r>
    </w:p>
    <w:p w14:paraId="6E53E0C1"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Approved material submittals, catalogues, manufacturer certificates, and compliance documentation. Completed civil, mechanical, and electrical works</w:t>
      </w:r>
    </w:p>
    <w:p w14:paraId="22E245F3"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Operation and maintenance training for designated operators</w:t>
      </w:r>
    </w:p>
    <w:p w14:paraId="5DA23C3D"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Pressure testing, disinfection, and water quality reports</w:t>
      </w:r>
    </w:p>
    <w:p w14:paraId="33EDDC82"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As-built drawings (hard and soft copies)</w:t>
      </w:r>
    </w:p>
    <w:p w14:paraId="473133BA"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Completion and handover report</w:t>
      </w:r>
    </w:p>
    <w:p w14:paraId="459A51DE" w14:textId="77777777" w:rsidR="009C2A4C" w:rsidRPr="009C2A4C" w:rsidRDefault="009C2A4C" w:rsidP="009C2A4C">
      <w:pPr>
        <w:spacing w:line="259" w:lineRule="auto"/>
        <w:ind w:left="360"/>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 xml:space="preserve">8. </w:t>
      </w:r>
      <w:r w:rsidRPr="009C2A4C">
        <w:rPr>
          <w:rFonts w:asciiTheme="majorHAnsi" w:eastAsia="Times New Roman" w:hAnsiTheme="majorHAnsi" w:cs="Times New Roman"/>
          <w:b/>
          <w:bCs/>
          <w:color w:val="000000"/>
          <w:kern w:val="0"/>
          <w:sz w:val="22"/>
          <w:szCs w:val="22"/>
          <w14:ligatures w14:val="none"/>
        </w:rPr>
        <w:t>Duration of the work</w:t>
      </w:r>
    </w:p>
    <w:p w14:paraId="4C438FAF" w14:textId="77777777" w:rsid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anticipated duration of the works shall be defined in the tender document and shall include mobilization, construction, testing, commissioning, and handover periods.</w:t>
      </w:r>
    </w:p>
    <w:p w14:paraId="2EB94722" w14:textId="77777777" w:rsidR="00532BF2" w:rsidRDefault="00532BF2" w:rsidP="00532BF2">
      <w:pPr>
        <w:pStyle w:val="ListParagraph"/>
        <w:spacing w:line="259" w:lineRule="auto"/>
        <w:rPr>
          <w:rFonts w:asciiTheme="majorHAnsi" w:eastAsia="Times New Roman" w:hAnsiTheme="majorHAnsi" w:cs="Times New Roman"/>
          <w:color w:val="000000"/>
          <w:kern w:val="0"/>
          <w:sz w:val="22"/>
          <w:szCs w:val="22"/>
          <w14:ligatures w14:val="none"/>
        </w:rPr>
      </w:pPr>
    </w:p>
    <w:p w14:paraId="0CBC45BB" w14:textId="77777777" w:rsidR="00532BF2" w:rsidRDefault="00532BF2" w:rsidP="00532BF2">
      <w:pPr>
        <w:pStyle w:val="ListParagraph"/>
        <w:spacing w:line="259" w:lineRule="auto"/>
        <w:rPr>
          <w:rFonts w:asciiTheme="majorHAnsi" w:eastAsia="Times New Roman" w:hAnsiTheme="majorHAnsi" w:cs="Times New Roman"/>
          <w:color w:val="000000"/>
          <w:kern w:val="0"/>
          <w:sz w:val="22"/>
          <w:szCs w:val="22"/>
          <w14:ligatures w14:val="none"/>
        </w:rPr>
      </w:pPr>
    </w:p>
    <w:p w14:paraId="7C0A47DE" w14:textId="77777777" w:rsidR="00532BF2" w:rsidRPr="009C2A4C" w:rsidRDefault="00532BF2" w:rsidP="00532BF2">
      <w:pPr>
        <w:pStyle w:val="ListParagraph"/>
        <w:spacing w:line="259" w:lineRule="auto"/>
        <w:rPr>
          <w:rFonts w:asciiTheme="majorHAnsi" w:eastAsia="Times New Roman" w:hAnsiTheme="majorHAnsi" w:cs="Times New Roman"/>
          <w:color w:val="000000"/>
          <w:kern w:val="0"/>
          <w:sz w:val="22"/>
          <w:szCs w:val="22"/>
          <w14:ligatures w14:val="none"/>
        </w:rPr>
      </w:pPr>
    </w:p>
    <w:p w14:paraId="56EC04D7" w14:textId="77777777" w:rsidR="009C2A4C" w:rsidRPr="009C2A4C" w:rsidRDefault="009C2A4C" w:rsidP="009C2A4C">
      <w:pPr>
        <w:spacing w:line="259" w:lineRule="auto"/>
        <w:ind w:left="360"/>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9. Defects liability</w:t>
      </w:r>
    </w:p>
    <w:p w14:paraId="378284E5"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 provide a defects liability period of not less than twelve (12) months from the date of provisional acceptance, during which any defects attributable to workmanship or materials shall be remedied at no additional cost to the employer.</w:t>
      </w:r>
    </w:p>
    <w:p w14:paraId="25312866" w14:textId="77777777" w:rsidR="009C2A4C" w:rsidRPr="009C2A4C" w:rsidRDefault="009C2A4C" w:rsidP="009C2A4C">
      <w:pPr>
        <w:spacing w:line="259" w:lineRule="auto"/>
        <w:ind w:left="360"/>
        <w:rPr>
          <w:rFonts w:asciiTheme="majorHAnsi" w:eastAsia="Times New Roman" w:hAnsiTheme="majorHAnsi" w:cs="Times New Roman"/>
          <w:b/>
          <w:bCs/>
          <w:color w:val="000000"/>
          <w:kern w:val="0"/>
          <w:sz w:val="22"/>
          <w:szCs w:val="22"/>
          <w14:ligatures w14:val="none"/>
        </w:rPr>
      </w:pPr>
      <w:r w:rsidRPr="009C2A4C">
        <w:rPr>
          <w:rFonts w:asciiTheme="majorHAnsi" w:eastAsia="Times New Roman" w:hAnsiTheme="majorHAnsi" w:cs="Times New Roman"/>
          <w:b/>
          <w:bCs/>
          <w:color w:val="000000"/>
          <w:kern w:val="0"/>
          <w:sz w:val="22"/>
          <w:szCs w:val="22"/>
          <w14:ligatures w14:val="none"/>
        </w:rPr>
        <w:t>10. Coordination and reporting</w:t>
      </w:r>
    </w:p>
    <w:p w14:paraId="69E79769" w14:textId="77777777" w:rsidR="009C2A4C" w:rsidRPr="009C2A4C" w:rsidRDefault="009C2A4C" w:rsidP="009C2A4C">
      <w:pPr>
        <w:spacing w:line="259" w:lineRule="auto"/>
        <w:ind w:left="360"/>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The contractor shall report regularly to the employer/implementing partner and coordinate closely with:</w:t>
      </w:r>
    </w:p>
    <w:p w14:paraId="74A8867C"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State Water Corporation (SWC)</w:t>
      </w:r>
    </w:p>
    <w:p w14:paraId="003C401B"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Relevant state and municipal authorities</w:t>
      </w:r>
    </w:p>
    <w:p w14:paraId="2274056E" w14:textId="77777777" w:rsidR="009C2A4C" w:rsidRPr="009C2A4C" w:rsidRDefault="009C2A4C" w:rsidP="009C2A4C">
      <w:pPr>
        <w:pStyle w:val="ListParagraph"/>
        <w:numPr>
          <w:ilvl w:val="0"/>
          <w:numId w:val="14"/>
        </w:numPr>
        <w:spacing w:line="259" w:lineRule="auto"/>
        <w:rPr>
          <w:rFonts w:asciiTheme="majorHAnsi" w:eastAsia="Times New Roman" w:hAnsiTheme="majorHAnsi" w:cs="Times New Roman"/>
          <w:color w:val="000000"/>
          <w:kern w:val="0"/>
          <w:sz w:val="22"/>
          <w:szCs w:val="22"/>
          <w14:ligatures w14:val="none"/>
        </w:rPr>
      </w:pPr>
      <w:r w:rsidRPr="009C2A4C">
        <w:rPr>
          <w:rFonts w:asciiTheme="majorHAnsi" w:eastAsia="Times New Roman" w:hAnsiTheme="majorHAnsi" w:cs="Times New Roman"/>
          <w:color w:val="000000"/>
          <w:kern w:val="0"/>
          <w:sz w:val="22"/>
          <w:szCs w:val="22"/>
          <w14:ligatures w14:val="none"/>
        </w:rPr>
        <w:t>Community representatives, where required</w:t>
      </w:r>
    </w:p>
    <w:p w14:paraId="58011A96" w14:textId="77777777" w:rsidR="009C2A4C" w:rsidRPr="009C2A4C" w:rsidRDefault="009C2A4C" w:rsidP="009C2A4C">
      <w:pPr>
        <w:pStyle w:val="ListParagraph"/>
        <w:spacing w:line="259" w:lineRule="auto"/>
        <w:rPr>
          <w:rFonts w:asciiTheme="majorHAnsi" w:eastAsia="Times New Roman" w:hAnsiTheme="majorHAnsi" w:cs="Times New Roman"/>
          <w:color w:val="000000"/>
          <w:kern w:val="0"/>
          <w:sz w:val="22"/>
          <w:szCs w:val="22"/>
          <w14:ligatures w14:val="none"/>
        </w:rPr>
      </w:pPr>
    </w:p>
    <w:p w14:paraId="4B082EE1" w14:textId="4DE01B82" w:rsidR="00B72331" w:rsidRPr="009C2A4C" w:rsidRDefault="00B72331" w:rsidP="009C2A4C">
      <w:pPr>
        <w:spacing w:line="259" w:lineRule="auto"/>
        <w:rPr>
          <w:rFonts w:asciiTheme="majorHAnsi" w:eastAsia="Times New Roman" w:hAnsiTheme="majorHAnsi" w:cs="Times New Roman"/>
          <w:color w:val="000000"/>
          <w:kern w:val="0"/>
          <w:sz w:val="22"/>
          <w:szCs w:val="22"/>
          <w:rtl/>
          <w14:ligatures w14:val="none"/>
        </w:rPr>
      </w:pPr>
    </w:p>
    <w:sectPr w:rsidR="00B72331" w:rsidRPr="009C2A4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C8DE" w14:textId="77777777" w:rsidR="001869CD" w:rsidRDefault="001869CD" w:rsidP="001963E6">
      <w:pPr>
        <w:spacing w:after="0" w:line="240" w:lineRule="auto"/>
      </w:pPr>
      <w:r>
        <w:separator/>
      </w:r>
    </w:p>
  </w:endnote>
  <w:endnote w:type="continuationSeparator" w:id="0">
    <w:p w14:paraId="5B82509B" w14:textId="77777777" w:rsidR="001869CD" w:rsidRDefault="001869CD" w:rsidP="0019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232592"/>
      <w:docPartObj>
        <w:docPartGallery w:val="Page Numbers (Bottom of Page)"/>
        <w:docPartUnique/>
      </w:docPartObj>
    </w:sdtPr>
    <w:sdtEndPr>
      <w:rPr>
        <w:color w:val="7F7F7F" w:themeColor="background1" w:themeShade="7F"/>
        <w:spacing w:val="60"/>
      </w:rPr>
    </w:sdtEndPr>
    <w:sdtContent>
      <w:p w14:paraId="05C7432A" w14:textId="55902DFC" w:rsidR="00D11A02" w:rsidRDefault="00D11A0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551643" w14:textId="77777777" w:rsidR="00D11A02" w:rsidRDefault="00D11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2B66A" w14:textId="77777777" w:rsidR="001869CD" w:rsidRDefault="001869CD" w:rsidP="001963E6">
      <w:pPr>
        <w:spacing w:after="0" w:line="240" w:lineRule="auto"/>
      </w:pPr>
      <w:r>
        <w:separator/>
      </w:r>
    </w:p>
  </w:footnote>
  <w:footnote w:type="continuationSeparator" w:id="0">
    <w:p w14:paraId="06C8EC0F" w14:textId="77777777" w:rsidR="001869CD" w:rsidRDefault="001869CD" w:rsidP="00196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680"/>
    </w:tblGrid>
    <w:tr w:rsidR="001963E6" w:rsidRPr="00EB4AAF" w14:paraId="4C463F1A" w14:textId="77777777" w:rsidTr="00C40D1F">
      <w:tc>
        <w:tcPr>
          <w:tcW w:w="6750" w:type="dxa"/>
        </w:tcPr>
        <w:p w14:paraId="792B64B3" w14:textId="77777777" w:rsidR="001963E6" w:rsidRPr="00EB4AAF" w:rsidRDefault="001963E6" w:rsidP="001963E6">
          <w:pPr>
            <w:rPr>
              <w:rFonts w:ascii="Gill Sans Nova Light" w:eastAsia="Aptos" w:hAnsi="Gill Sans Nova Light" w:cs="Arial"/>
              <w:sz w:val="18"/>
              <w:szCs w:val="18"/>
            </w:rPr>
          </w:pPr>
          <w:r w:rsidRPr="00EB4AAF">
            <w:rPr>
              <w:rFonts w:ascii="Gill Sans Nova Light" w:eastAsia="Aptos" w:hAnsi="Gill Sans Nova Light" w:cs="Arial"/>
              <w:sz w:val="18"/>
              <w:szCs w:val="18"/>
            </w:rPr>
            <w:t xml:space="preserve">Sudan Integrated Social Sector Infrastructure Rehabilitation Project </w:t>
          </w:r>
        </w:p>
        <w:p w14:paraId="10C316AC" w14:textId="77777777" w:rsidR="001963E6" w:rsidRPr="00EB4AAF" w:rsidRDefault="001963E6" w:rsidP="001963E6">
          <w:pPr>
            <w:rPr>
              <w:rFonts w:ascii="Gill Sans Nova Light" w:eastAsia="Aptos" w:hAnsi="Gill Sans Nova Light" w:cs="Arial"/>
              <w:color w:val="0033A0"/>
              <w:sz w:val="32"/>
              <w:szCs w:val="32"/>
            </w:rPr>
          </w:pPr>
          <w:r>
            <w:rPr>
              <w:rFonts w:ascii="Gill Sans Nova Light" w:eastAsia="Aptos" w:hAnsi="Gill Sans Nova Light" w:cs="Arial"/>
              <w:color w:val="0033A0"/>
              <w:sz w:val="32"/>
              <w:szCs w:val="32"/>
            </w:rPr>
            <w:t xml:space="preserve">Scope of work </w:t>
          </w:r>
        </w:p>
      </w:tc>
      <w:tc>
        <w:tcPr>
          <w:tcW w:w="2970" w:type="dxa"/>
        </w:tcPr>
        <w:p w14:paraId="274990D7" w14:textId="77777777" w:rsidR="001963E6" w:rsidRPr="00EB4AAF" w:rsidRDefault="001963E6" w:rsidP="001963E6">
          <w:pPr>
            <w:rPr>
              <w:rFonts w:ascii="Aptos" w:eastAsia="Aptos" w:hAnsi="Aptos" w:cs="Arial"/>
            </w:rPr>
          </w:pPr>
          <w:r w:rsidRPr="00EB4AAF">
            <w:rPr>
              <w:rFonts w:ascii="Aptos" w:eastAsia="Aptos" w:hAnsi="Aptos" w:cs="Arial"/>
              <w:noProof/>
            </w:rPr>
            <w:drawing>
              <wp:inline distT="0" distB="0" distL="0" distR="0" wp14:anchorId="64EA870A" wp14:editId="144B70B0">
                <wp:extent cx="2834640" cy="425509"/>
                <wp:effectExtent l="0" t="0" r="0" b="6350"/>
                <wp:docPr id="1736536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7814"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2834640" cy="425509"/>
                        </a:xfrm>
                        <a:prstGeom prst="rect">
                          <a:avLst/>
                        </a:prstGeom>
                      </pic:spPr>
                    </pic:pic>
                  </a:graphicData>
                </a:graphic>
              </wp:inline>
            </w:drawing>
          </w:r>
        </w:p>
      </w:tc>
    </w:tr>
  </w:tbl>
  <w:p w14:paraId="3DEFAEB9" w14:textId="77777777" w:rsidR="001963E6" w:rsidRDefault="001963E6" w:rsidP="001963E6">
    <w:pPr>
      <w:pStyle w:val="Header"/>
      <w:pBdr>
        <w:bottom w:val="single" w:sz="6" w:space="1" w:color="auto"/>
      </w:pBdr>
    </w:pPr>
  </w:p>
  <w:p w14:paraId="2F0EC6BA" w14:textId="77777777" w:rsidR="001963E6" w:rsidRPr="00847290" w:rsidRDefault="001963E6" w:rsidP="001963E6">
    <w:pPr>
      <w:pStyle w:val="Header"/>
    </w:pPr>
  </w:p>
  <w:p w14:paraId="584B9E39" w14:textId="77777777" w:rsidR="001963E6" w:rsidRPr="001963E6" w:rsidRDefault="001963E6" w:rsidP="0019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DC1"/>
    <w:multiLevelType w:val="multilevel"/>
    <w:tmpl w:val="CBB2F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82E9B"/>
    <w:multiLevelType w:val="multilevel"/>
    <w:tmpl w:val="38E89E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F4BDE"/>
    <w:multiLevelType w:val="multilevel"/>
    <w:tmpl w:val="6DB8ABE6"/>
    <w:lvl w:ilvl="0">
      <w:start w:val="3"/>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45E1FBA"/>
    <w:multiLevelType w:val="hybridMultilevel"/>
    <w:tmpl w:val="9D1816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7177761"/>
    <w:multiLevelType w:val="hybridMultilevel"/>
    <w:tmpl w:val="B0D8D0AE"/>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A2E08AC"/>
    <w:multiLevelType w:val="multilevel"/>
    <w:tmpl w:val="DB46A4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C31CB1"/>
    <w:multiLevelType w:val="multilevel"/>
    <w:tmpl w:val="9070B9C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A419E"/>
    <w:multiLevelType w:val="multilevel"/>
    <w:tmpl w:val="0FB013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D10A5"/>
    <w:multiLevelType w:val="multilevel"/>
    <w:tmpl w:val="B366C486"/>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103A59"/>
    <w:multiLevelType w:val="hybridMultilevel"/>
    <w:tmpl w:val="626E7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8A48DC"/>
    <w:multiLevelType w:val="hybridMultilevel"/>
    <w:tmpl w:val="7D221F44"/>
    <w:lvl w:ilvl="0" w:tplc="FA121B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A530C2"/>
    <w:multiLevelType w:val="hybridMultilevel"/>
    <w:tmpl w:val="933E2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A9F1FF5"/>
    <w:multiLevelType w:val="hybridMultilevel"/>
    <w:tmpl w:val="6D1C3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63F33"/>
    <w:multiLevelType w:val="hybridMultilevel"/>
    <w:tmpl w:val="8AC05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DEA783A"/>
    <w:multiLevelType w:val="hybridMultilevel"/>
    <w:tmpl w:val="106EB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2F27CA4"/>
    <w:multiLevelType w:val="multilevel"/>
    <w:tmpl w:val="C586487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9A27ECD"/>
    <w:multiLevelType w:val="hybridMultilevel"/>
    <w:tmpl w:val="F1EEE922"/>
    <w:lvl w:ilvl="0" w:tplc="04090003">
      <w:start w:val="1"/>
      <w:numFmt w:val="bullet"/>
      <w:lvlText w:val="o"/>
      <w:lvlJc w:val="left"/>
      <w:pPr>
        <w:ind w:left="1620" w:hanging="360"/>
      </w:pPr>
      <w:rPr>
        <w:rFonts w:ascii="Courier New" w:hAnsi="Courier New" w:cs="Courier New"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7" w15:restartNumberingAfterBreak="0">
    <w:nsid w:val="4CD706E5"/>
    <w:multiLevelType w:val="hybridMultilevel"/>
    <w:tmpl w:val="780E5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10456FE"/>
    <w:multiLevelType w:val="hybridMultilevel"/>
    <w:tmpl w:val="09C88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2512DC1"/>
    <w:multiLevelType w:val="hybridMultilevel"/>
    <w:tmpl w:val="159A3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AEE1C56"/>
    <w:multiLevelType w:val="multilevel"/>
    <w:tmpl w:val="08CE2F9C"/>
    <w:lvl w:ilvl="0">
      <w:start w:val="1"/>
      <w:numFmt w:val="decimal"/>
      <w:lvlText w:val="%1."/>
      <w:lvlJc w:val="left"/>
      <w:pPr>
        <w:tabs>
          <w:tab w:val="num" w:pos="720"/>
        </w:tabs>
        <w:ind w:left="720" w:hanging="360"/>
      </w:pPr>
    </w:lvl>
    <w:lvl w:ilvl="1">
      <w:start w:val="2"/>
      <w:numFmt w:val="decimal"/>
      <w:lvlText w:val="%2&gt;"/>
      <w:lvlJc w:val="left"/>
      <w:pPr>
        <w:ind w:left="1440" w:hanging="360"/>
      </w:pPr>
      <w:rPr>
        <w:rFonts w:ascii="Calibri" w:eastAsia="Times New Roman" w:hAnsi="Calibri" w:cs="Calibri" w:hint="default"/>
        <w:b/>
        <w:color w:val="153D63" w:themeColor="text2" w:themeTint="E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505EC5"/>
    <w:multiLevelType w:val="hybridMultilevel"/>
    <w:tmpl w:val="F50EAC12"/>
    <w:lvl w:ilvl="0" w:tplc="04090003">
      <w:start w:val="1"/>
      <w:numFmt w:val="bullet"/>
      <w:lvlText w:val="o"/>
      <w:lvlJc w:val="left"/>
      <w:pPr>
        <w:ind w:left="1480" w:hanging="360"/>
      </w:pPr>
      <w:rPr>
        <w:rFonts w:ascii="Courier New" w:hAnsi="Courier New" w:cs="Courier New"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22" w15:restartNumberingAfterBreak="0">
    <w:nsid w:val="5EA65B00"/>
    <w:multiLevelType w:val="multilevel"/>
    <w:tmpl w:val="8AC8B9D8"/>
    <w:lvl w:ilvl="0">
      <w:start w:val="3"/>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3" w15:restartNumberingAfterBreak="0">
    <w:nsid w:val="647C29F7"/>
    <w:multiLevelType w:val="hybridMultilevel"/>
    <w:tmpl w:val="43347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8572C7"/>
    <w:multiLevelType w:val="hybridMultilevel"/>
    <w:tmpl w:val="EDA20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C35438"/>
    <w:multiLevelType w:val="hybridMultilevel"/>
    <w:tmpl w:val="83EA0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2810568"/>
    <w:multiLevelType w:val="hybridMultilevel"/>
    <w:tmpl w:val="1D28F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3D75678"/>
    <w:multiLevelType w:val="multilevel"/>
    <w:tmpl w:val="149274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353402"/>
    <w:multiLevelType w:val="hybridMultilevel"/>
    <w:tmpl w:val="76505BCA"/>
    <w:lvl w:ilvl="0" w:tplc="04090003">
      <w:start w:val="1"/>
      <w:numFmt w:val="bullet"/>
      <w:lvlText w:val="o"/>
      <w:lvlJc w:val="left"/>
      <w:pPr>
        <w:ind w:left="1440" w:hanging="360"/>
      </w:pPr>
      <w:rPr>
        <w:rFonts w:ascii="Courier New" w:hAnsi="Courier New" w:cs="Courier New"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53909658">
    <w:abstractNumId w:val="20"/>
  </w:num>
  <w:num w:numId="2" w16cid:durableId="290600996">
    <w:abstractNumId w:val="7"/>
  </w:num>
  <w:num w:numId="3" w16cid:durableId="1020358215">
    <w:abstractNumId w:val="0"/>
  </w:num>
  <w:num w:numId="4" w16cid:durableId="495416931">
    <w:abstractNumId w:val="27"/>
  </w:num>
  <w:num w:numId="5" w16cid:durableId="569729968">
    <w:abstractNumId w:val="1"/>
  </w:num>
  <w:num w:numId="6" w16cid:durableId="354041829">
    <w:abstractNumId w:val="5"/>
  </w:num>
  <w:num w:numId="7" w16cid:durableId="1393427488">
    <w:abstractNumId w:val="24"/>
  </w:num>
  <w:num w:numId="8" w16cid:durableId="1563834174">
    <w:abstractNumId w:val="16"/>
  </w:num>
  <w:num w:numId="9" w16cid:durableId="364326914">
    <w:abstractNumId w:val="10"/>
  </w:num>
  <w:num w:numId="10" w16cid:durableId="1717586122">
    <w:abstractNumId w:val="28"/>
  </w:num>
  <w:num w:numId="11" w16cid:durableId="2065831132">
    <w:abstractNumId w:val="21"/>
  </w:num>
  <w:num w:numId="12" w16cid:durableId="240918042">
    <w:abstractNumId w:val="15"/>
  </w:num>
  <w:num w:numId="13" w16cid:durableId="342899254">
    <w:abstractNumId w:val="4"/>
  </w:num>
  <w:num w:numId="14" w16cid:durableId="1575583410">
    <w:abstractNumId w:val="12"/>
  </w:num>
  <w:num w:numId="15" w16cid:durableId="1455949919">
    <w:abstractNumId w:val="6"/>
  </w:num>
  <w:num w:numId="16" w16cid:durableId="321081864">
    <w:abstractNumId w:val="2"/>
  </w:num>
  <w:num w:numId="17" w16cid:durableId="543450214">
    <w:abstractNumId w:val="8"/>
  </w:num>
  <w:num w:numId="18" w16cid:durableId="272324453">
    <w:abstractNumId w:val="22"/>
  </w:num>
  <w:num w:numId="19" w16cid:durableId="31007294">
    <w:abstractNumId w:val="17"/>
  </w:num>
  <w:num w:numId="20" w16cid:durableId="951282978">
    <w:abstractNumId w:val="13"/>
  </w:num>
  <w:num w:numId="21" w16cid:durableId="766196803">
    <w:abstractNumId w:val="11"/>
  </w:num>
  <w:num w:numId="22" w16cid:durableId="325405235">
    <w:abstractNumId w:val="25"/>
  </w:num>
  <w:num w:numId="23" w16cid:durableId="1187596589">
    <w:abstractNumId w:val="26"/>
  </w:num>
  <w:num w:numId="24" w16cid:durableId="353462226">
    <w:abstractNumId w:val="18"/>
  </w:num>
  <w:num w:numId="25" w16cid:durableId="464585395">
    <w:abstractNumId w:val="19"/>
  </w:num>
  <w:num w:numId="26" w16cid:durableId="1489133707">
    <w:abstractNumId w:val="9"/>
  </w:num>
  <w:num w:numId="27" w16cid:durableId="1320572651">
    <w:abstractNumId w:val="14"/>
  </w:num>
  <w:num w:numId="28" w16cid:durableId="1877623200">
    <w:abstractNumId w:val="23"/>
  </w:num>
  <w:num w:numId="29" w16cid:durableId="550312617">
    <w:abstractNumId w:val="3"/>
  </w:num>
  <w:num w:numId="30" w16cid:durableId="76730763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A52"/>
    <w:rsid w:val="00020A73"/>
    <w:rsid w:val="00050790"/>
    <w:rsid w:val="0005214C"/>
    <w:rsid w:val="000750DD"/>
    <w:rsid w:val="000A4347"/>
    <w:rsid w:val="000C02DF"/>
    <w:rsid w:val="000D0361"/>
    <w:rsid w:val="000D583C"/>
    <w:rsid w:val="00106C1B"/>
    <w:rsid w:val="00112FE7"/>
    <w:rsid w:val="00116742"/>
    <w:rsid w:val="00153BE0"/>
    <w:rsid w:val="00160B06"/>
    <w:rsid w:val="001869CD"/>
    <w:rsid w:val="001963E6"/>
    <w:rsid w:val="001C4A1B"/>
    <w:rsid w:val="001D2125"/>
    <w:rsid w:val="001D5207"/>
    <w:rsid w:val="001E069B"/>
    <w:rsid w:val="001E083C"/>
    <w:rsid w:val="001E69F8"/>
    <w:rsid w:val="001F13A6"/>
    <w:rsid w:val="00273007"/>
    <w:rsid w:val="00273923"/>
    <w:rsid w:val="00277375"/>
    <w:rsid w:val="00294E7B"/>
    <w:rsid w:val="002A52FA"/>
    <w:rsid w:val="002B177A"/>
    <w:rsid w:val="002B3F07"/>
    <w:rsid w:val="002B545F"/>
    <w:rsid w:val="002C631E"/>
    <w:rsid w:val="002D2E69"/>
    <w:rsid w:val="002D7E4C"/>
    <w:rsid w:val="002E446E"/>
    <w:rsid w:val="002E7328"/>
    <w:rsid w:val="00300BE6"/>
    <w:rsid w:val="00337CE6"/>
    <w:rsid w:val="00337DC5"/>
    <w:rsid w:val="0034356C"/>
    <w:rsid w:val="00366B41"/>
    <w:rsid w:val="00374DF5"/>
    <w:rsid w:val="00375787"/>
    <w:rsid w:val="003A6530"/>
    <w:rsid w:val="003E4FF8"/>
    <w:rsid w:val="003F408E"/>
    <w:rsid w:val="004466F3"/>
    <w:rsid w:val="00453BB7"/>
    <w:rsid w:val="004562BC"/>
    <w:rsid w:val="004574E3"/>
    <w:rsid w:val="00463A59"/>
    <w:rsid w:val="004E351F"/>
    <w:rsid w:val="005055C2"/>
    <w:rsid w:val="00515B1B"/>
    <w:rsid w:val="00527434"/>
    <w:rsid w:val="00532BF2"/>
    <w:rsid w:val="005610E0"/>
    <w:rsid w:val="005646CB"/>
    <w:rsid w:val="005B0067"/>
    <w:rsid w:val="005C3C61"/>
    <w:rsid w:val="005E00AC"/>
    <w:rsid w:val="005E44BE"/>
    <w:rsid w:val="006016BD"/>
    <w:rsid w:val="00653D02"/>
    <w:rsid w:val="006541D7"/>
    <w:rsid w:val="00666A8E"/>
    <w:rsid w:val="006A1B17"/>
    <w:rsid w:val="006A3E54"/>
    <w:rsid w:val="006C1FB2"/>
    <w:rsid w:val="00713848"/>
    <w:rsid w:val="007244AC"/>
    <w:rsid w:val="007244D0"/>
    <w:rsid w:val="00737318"/>
    <w:rsid w:val="00737615"/>
    <w:rsid w:val="00756650"/>
    <w:rsid w:val="007856F1"/>
    <w:rsid w:val="007B5EE3"/>
    <w:rsid w:val="007D296B"/>
    <w:rsid w:val="007F5CA5"/>
    <w:rsid w:val="008137C8"/>
    <w:rsid w:val="00827C19"/>
    <w:rsid w:val="00836626"/>
    <w:rsid w:val="00844263"/>
    <w:rsid w:val="00851489"/>
    <w:rsid w:val="0085348A"/>
    <w:rsid w:val="00856675"/>
    <w:rsid w:val="00862373"/>
    <w:rsid w:val="00863824"/>
    <w:rsid w:val="00865A39"/>
    <w:rsid w:val="008758DD"/>
    <w:rsid w:val="008C60B2"/>
    <w:rsid w:val="008D2D6B"/>
    <w:rsid w:val="008E0434"/>
    <w:rsid w:val="008F0E4B"/>
    <w:rsid w:val="009035A7"/>
    <w:rsid w:val="00922A12"/>
    <w:rsid w:val="00925AEC"/>
    <w:rsid w:val="00946726"/>
    <w:rsid w:val="00954AC2"/>
    <w:rsid w:val="009658CA"/>
    <w:rsid w:val="00980790"/>
    <w:rsid w:val="00986616"/>
    <w:rsid w:val="009A0C4D"/>
    <w:rsid w:val="009A3621"/>
    <w:rsid w:val="009B08BF"/>
    <w:rsid w:val="009B222D"/>
    <w:rsid w:val="009B25A1"/>
    <w:rsid w:val="009C0034"/>
    <w:rsid w:val="009C2A4C"/>
    <w:rsid w:val="00A24C91"/>
    <w:rsid w:val="00A717E3"/>
    <w:rsid w:val="00A74714"/>
    <w:rsid w:val="00A854AB"/>
    <w:rsid w:val="00AF12B4"/>
    <w:rsid w:val="00AF2A2A"/>
    <w:rsid w:val="00B115B4"/>
    <w:rsid w:val="00B22480"/>
    <w:rsid w:val="00B26328"/>
    <w:rsid w:val="00B50BC2"/>
    <w:rsid w:val="00B72331"/>
    <w:rsid w:val="00B85D38"/>
    <w:rsid w:val="00BC05F2"/>
    <w:rsid w:val="00BC55F7"/>
    <w:rsid w:val="00BC694E"/>
    <w:rsid w:val="00BE1615"/>
    <w:rsid w:val="00C3366F"/>
    <w:rsid w:val="00C6034E"/>
    <w:rsid w:val="00C6731B"/>
    <w:rsid w:val="00C76DED"/>
    <w:rsid w:val="00C913E6"/>
    <w:rsid w:val="00C93290"/>
    <w:rsid w:val="00CA28AF"/>
    <w:rsid w:val="00CB70B5"/>
    <w:rsid w:val="00CD3290"/>
    <w:rsid w:val="00D11A02"/>
    <w:rsid w:val="00D12EA1"/>
    <w:rsid w:val="00D17A8A"/>
    <w:rsid w:val="00D26400"/>
    <w:rsid w:val="00D51F89"/>
    <w:rsid w:val="00D8273D"/>
    <w:rsid w:val="00DB3DA5"/>
    <w:rsid w:val="00DD0D18"/>
    <w:rsid w:val="00E07806"/>
    <w:rsid w:val="00E16A52"/>
    <w:rsid w:val="00E62457"/>
    <w:rsid w:val="00E706CA"/>
    <w:rsid w:val="00E77452"/>
    <w:rsid w:val="00E86E97"/>
    <w:rsid w:val="00EA41D1"/>
    <w:rsid w:val="00EA5036"/>
    <w:rsid w:val="00EB7D72"/>
    <w:rsid w:val="00ED0547"/>
    <w:rsid w:val="00F22B0C"/>
    <w:rsid w:val="00F35D8E"/>
    <w:rsid w:val="00F455AB"/>
    <w:rsid w:val="00F532DA"/>
    <w:rsid w:val="00F71475"/>
    <w:rsid w:val="00F975AE"/>
    <w:rsid w:val="00FA345E"/>
    <w:rsid w:val="00FA6DFB"/>
    <w:rsid w:val="00FC2C4E"/>
    <w:rsid w:val="00FC74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0A9A"/>
  <w15:chartTrackingRefBased/>
  <w15:docId w15:val="{202BDAA9-6A69-4056-8284-A0E3B97D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A52"/>
    <w:rPr>
      <w:rFonts w:eastAsiaTheme="majorEastAsia" w:cstheme="majorBidi"/>
      <w:color w:val="272727" w:themeColor="text1" w:themeTint="D8"/>
    </w:rPr>
  </w:style>
  <w:style w:type="paragraph" w:styleId="Title">
    <w:name w:val="Title"/>
    <w:basedOn w:val="Normal"/>
    <w:next w:val="Normal"/>
    <w:link w:val="TitleChar"/>
    <w:uiPriority w:val="10"/>
    <w:qFormat/>
    <w:rsid w:val="00E16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A52"/>
    <w:pPr>
      <w:spacing w:before="160"/>
      <w:jc w:val="center"/>
    </w:pPr>
    <w:rPr>
      <w:i/>
      <w:iCs/>
      <w:color w:val="404040" w:themeColor="text1" w:themeTint="BF"/>
    </w:rPr>
  </w:style>
  <w:style w:type="character" w:customStyle="1" w:styleId="QuoteChar">
    <w:name w:val="Quote Char"/>
    <w:basedOn w:val="DefaultParagraphFont"/>
    <w:link w:val="Quote"/>
    <w:uiPriority w:val="29"/>
    <w:rsid w:val="00E16A52"/>
    <w:rPr>
      <w:i/>
      <w:iCs/>
      <w:color w:val="404040" w:themeColor="text1" w:themeTint="BF"/>
    </w:rPr>
  </w:style>
  <w:style w:type="paragraph" w:styleId="ListParagraph">
    <w:name w:val="List Paragraph"/>
    <w:aliases w:val="References,Paragraphe  revu,Paragraphe de liste1,Bullets,List Paragraph1,Ha,Figures,List Paragraph (numbered (a)),lp1,lp11,List Paragraph11,Bullet 1,Use Case List Paragraph,Bulletted,Bullet List,FooterText,numbered,WB List Paragraph,Body"/>
    <w:basedOn w:val="Normal"/>
    <w:link w:val="ListParagraphChar"/>
    <w:uiPriority w:val="34"/>
    <w:qFormat/>
    <w:rsid w:val="00E16A52"/>
    <w:pPr>
      <w:ind w:left="720"/>
      <w:contextualSpacing/>
    </w:pPr>
  </w:style>
  <w:style w:type="character" w:styleId="IntenseEmphasis">
    <w:name w:val="Intense Emphasis"/>
    <w:basedOn w:val="DefaultParagraphFont"/>
    <w:uiPriority w:val="21"/>
    <w:qFormat/>
    <w:rsid w:val="00E16A52"/>
    <w:rPr>
      <w:i/>
      <w:iCs/>
      <w:color w:val="0F4761" w:themeColor="accent1" w:themeShade="BF"/>
    </w:rPr>
  </w:style>
  <w:style w:type="paragraph" w:styleId="IntenseQuote">
    <w:name w:val="Intense Quote"/>
    <w:basedOn w:val="Normal"/>
    <w:next w:val="Normal"/>
    <w:link w:val="IntenseQuoteChar"/>
    <w:uiPriority w:val="30"/>
    <w:qFormat/>
    <w:rsid w:val="00E16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A52"/>
    <w:rPr>
      <w:i/>
      <w:iCs/>
      <w:color w:val="0F4761" w:themeColor="accent1" w:themeShade="BF"/>
    </w:rPr>
  </w:style>
  <w:style w:type="character" w:styleId="IntenseReference">
    <w:name w:val="Intense Reference"/>
    <w:basedOn w:val="DefaultParagraphFont"/>
    <w:uiPriority w:val="32"/>
    <w:qFormat/>
    <w:rsid w:val="00E16A52"/>
    <w:rPr>
      <w:b/>
      <w:bCs/>
      <w:smallCaps/>
      <w:color w:val="0F4761" w:themeColor="accent1" w:themeShade="BF"/>
      <w:spacing w:val="5"/>
    </w:rPr>
  </w:style>
  <w:style w:type="paragraph" w:styleId="Header">
    <w:name w:val="header"/>
    <w:basedOn w:val="Normal"/>
    <w:link w:val="HeaderChar"/>
    <w:uiPriority w:val="99"/>
    <w:unhideWhenUsed/>
    <w:rsid w:val="0019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3E6"/>
  </w:style>
  <w:style w:type="paragraph" w:styleId="Footer">
    <w:name w:val="footer"/>
    <w:basedOn w:val="Normal"/>
    <w:link w:val="FooterChar"/>
    <w:uiPriority w:val="99"/>
    <w:unhideWhenUsed/>
    <w:rsid w:val="0019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3E6"/>
  </w:style>
  <w:style w:type="table" w:styleId="TableGrid">
    <w:name w:val="Table Grid"/>
    <w:basedOn w:val="TableNormal"/>
    <w:uiPriority w:val="39"/>
    <w:rsid w:val="00196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ferences Char,Paragraphe  revu Char,Paragraphe de liste1 Char,Bullets Char,List Paragraph1 Char,Ha Char,Figures Char,List Paragraph (numbered (a)) Char,lp1 Char,lp11 Char,List Paragraph11 Char,Bullet 1 Char,Bulletted Char,Body Char"/>
    <w:link w:val="ListParagraph"/>
    <w:uiPriority w:val="34"/>
    <w:qFormat/>
    <w:locked/>
    <w:rsid w:val="00925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1634</Words>
  <Characters>9320</Characters>
  <Application>Microsoft Office Word</Application>
  <DocSecurity>0</DocSecurity>
  <Lines>77</Lines>
  <Paragraphs>21</Paragraphs>
  <ScaleCrop>false</ScaleCrop>
  <Company/>
  <LinksUpToDate>false</LinksUpToDate>
  <CharactersWithSpaces>10933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dc:description/>
  <cp:lastModifiedBy>IBRAHIM MOHAMED</cp:lastModifiedBy>
  <cp:revision>14</cp:revision>
  <dcterms:created xsi:type="dcterms:W3CDTF">2026-06-25T10:53:00Z</dcterms:created>
  <dcterms:modified xsi:type="dcterms:W3CDTF">2026-09-16T13:10:00Z</dcterms:modified>
</cp:coreProperties>
</file>