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5B96"/>
          <w:sz w:val="24"/>
        </w:rPr>
        <w:t>INTERNATIONAL ORGANIZATION FOR MIGRATION</w:t>
      </w:r>
    </w:p>
    <w:p>
      <w:pPr>
        <w:jc w:val="center"/>
      </w:pPr>
      <w:r>
        <w:rPr>
          <w:b/>
          <w:sz w:val="28"/>
        </w:rPr>
        <w:t>FORM L: PROPOSAL SECURITY</w:t>
      </w:r>
    </w:p>
    <w:p>
      <w:pPr>
        <w:jc w:val="center"/>
      </w:pPr>
      <w:r>
        <w:rPr>
          <w:i/>
        </w:rPr>
        <w:t>RFP Reference: 30000033285</w:t>
        <w:br/>
        <w:t>Design, Development, Hosting and Maintenance of the NoLEM Website</w:t>
      </w:r>
    </w:p>
    <w:p>
      <w:r>
        <w:t>Use this form only if Proposal Security is expressly required in the final Data Sheet. Otherwise, remove Form L from the solicitation package.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Beneficiary</w:t>
            </w:r>
          </w:p>
        </w:tc>
        <w:tc>
          <w:tcPr>
            <w:tcW w:type="dxa" w:w="5112"/>
            <w:vAlign w:val="center"/>
          </w:tcPr>
          <w:p>
            <w:r>
              <w:t>International Organization for Migration</w:t>
            </w:r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RFP Reference</w:t>
            </w:r>
          </w:p>
        </w:tc>
        <w:tc>
          <w:tcPr>
            <w:tcW w:type="dxa" w:w="5112"/>
            <w:vAlign w:val="center"/>
          </w:tcPr>
          <w:p>
            <w:r>
              <w:t>30000033285</w:t>
            </w:r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Proposer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Guarantor / Bank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Security amount and currency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Issue 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Expiry 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p>
      <w:r>
        <w:t>At the proposer’s request, the guarantor irrevocably undertakes to pay IOM, up to the amount stated above, upon receipt of a compliant written demand made in accordance with the final RFP requirements. The exact guarantee wording must be reviewed against the approved IOM template before issuance.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Signature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Official stamp, if applicable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