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0E4F" w14:textId="77777777" w:rsidR="00C93667" w:rsidRDefault="00C93667" w:rsidP="00C9366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2B17C6">
        <w:rPr>
          <w:rFonts w:asciiTheme="minorHAnsi" w:hAnsiTheme="minorHAnsi" w:cstheme="minorHAnsi"/>
          <w:b/>
          <w:bCs/>
          <w:color w:val="auto"/>
          <w:sz w:val="22"/>
          <w:szCs w:val="22"/>
        </w:rPr>
        <w:t>Annex B: Technical Compliance Matrix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36"/>
      </w:tblGrid>
      <w:tr w:rsidR="00C93667" w14:paraId="7B547A37" w14:textId="77777777" w:rsidTr="002A02B0">
        <w:trPr>
          <w:jc w:val="center"/>
        </w:trPr>
        <w:tc>
          <w:tcPr>
            <w:tcW w:w="9736" w:type="dxa"/>
            <w:tcBorders>
              <w:bottom w:val="single" w:sz="6" w:space="0" w:color="auto"/>
            </w:tcBorders>
            <w:shd w:val="clear" w:color="auto" w:fill="F2F2F2" w:themeFill="background1" w:themeFillShade="F2"/>
          </w:tcPr>
          <w:p w14:paraId="0257BF59" w14:textId="77777777" w:rsidR="00C93667" w:rsidRPr="002B17C6" w:rsidRDefault="00C93667" w:rsidP="002A02B0">
            <w:pPr>
              <w:spacing w:after="0"/>
              <w:rPr>
                <w:sz w:val="20"/>
                <w:szCs w:val="24"/>
              </w:rPr>
            </w:pPr>
            <w:r w:rsidRPr="002B17C6">
              <w:rPr>
                <w:i/>
                <w:sz w:val="20"/>
                <w:szCs w:val="24"/>
              </w:rPr>
              <w:t>Bidders must complete this matrix. IOM may request clarification, additional evidence, physical inspection, demonstration, or verification prior to award.</w:t>
            </w:r>
          </w:p>
        </w:tc>
      </w:tr>
    </w:tbl>
    <w:tbl>
      <w:tblPr>
        <w:tblStyle w:val="TableGrid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7"/>
        <w:gridCol w:w="4797"/>
        <w:gridCol w:w="2308"/>
        <w:gridCol w:w="2004"/>
      </w:tblGrid>
      <w:tr w:rsidR="00C93667" w:rsidRPr="00682303" w14:paraId="106A150A" w14:textId="77777777" w:rsidTr="002A02B0">
        <w:trPr>
          <w:jc w:val="center"/>
        </w:trPr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72E19BB9" w14:textId="77777777" w:rsidR="00C93667" w:rsidRPr="00837756" w:rsidRDefault="00C93667" w:rsidP="002A02B0">
            <w:pPr>
              <w:rPr>
                <w:sz w:val="20"/>
                <w:szCs w:val="28"/>
              </w:rPr>
            </w:pPr>
            <w:r w:rsidRPr="00837756">
              <w:rPr>
                <w:b/>
                <w:sz w:val="20"/>
                <w:szCs w:val="28"/>
              </w:rPr>
              <w:t>No.</w:t>
            </w:r>
          </w:p>
        </w:tc>
        <w:tc>
          <w:tcPr>
            <w:tcW w:w="4797" w:type="dxa"/>
            <w:shd w:val="clear" w:color="auto" w:fill="D9D9D9" w:themeFill="background1" w:themeFillShade="D9"/>
            <w:vAlign w:val="center"/>
          </w:tcPr>
          <w:p w14:paraId="541FEFD5" w14:textId="77777777" w:rsidR="00C93667" w:rsidRPr="00837756" w:rsidRDefault="00C93667" w:rsidP="002A02B0">
            <w:pPr>
              <w:rPr>
                <w:sz w:val="20"/>
                <w:szCs w:val="28"/>
              </w:rPr>
            </w:pPr>
            <w:r w:rsidRPr="00837756">
              <w:rPr>
                <w:b/>
                <w:sz w:val="20"/>
                <w:szCs w:val="28"/>
              </w:rPr>
              <w:t>Requirement</w:t>
            </w:r>
          </w:p>
        </w:tc>
        <w:tc>
          <w:tcPr>
            <w:tcW w:w="2308" w:type="dxa"/>
            <w:shd w:val="clear" w:color="auto" w:fill="D9D9D9" w:themeFill="background1" w:themeFillShade="D9"/>
            <w:vAlign w:val="center"/>
          </w:tcPr>
          <w:p w14:paraId="6840A04F" w14:textId="77777777" w:rsidR="00C93667" w:rsidRPr="00837756" w:rsidRDefault="00C93667" w:rsidP="002A02B0">
            <w:pPr>
              <w:rPr>
                <w:sz w:val="20"/>
                <w:szCs w:val="28"/>
              </w:rPr>
            </w:pPr>
            <w:r w:rsidRPr="00837756">
              <w:rPr>
                <w:b/>
                <w:sz w:val="20"/>
                <w:szCs w:val="28"/>
              </w:rPr>
              <w:t>Bidder Compliance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1252E00D" w14:textId="77777777" w:rsidR="00C93667" w:rsidRPr="00837756" w:rsidRDefault="00C93667" w:rsidP="002A02B0">
            <w:pPr>
              <w:rPr>
                <w:sz w:val="20"/>
                <w:szCs w:val="28"/>
              </w:rPr>
            </w:pPr>
            <w:r w:rsidRPr="00837756">
              <w:rPr>
                <w:b/>
                <w:sz w:val="20"/>
                <w:szCs w:val="28"/>
              </w:rPr>
              <w:t>Evidence / Document Reference</w:t>
            </w:r>
          </w:p>
        </w:tc>
      </w:tr>
      <w:tr w:rsidR="00C93667" w14:paraId="14D2E5B3" w14:textId="77777777" w:rsidTr="002A02B0">
        <w:trPr>
          <w:jc w:val="center"/>
        </w:trPr>
        <w:tc>
          <w:tcPr>
            <w:tcW w:w="627" w:type="dxa"/>
            <w:vAlign w:val="center"/>
          </w:tcPr>
          <w:p w14:paraId="50B5CA98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</w:t>
            </w:r>
          </w:p>
        </w:tc>
        <w:tc>
          <w:tcPr>
            <w:tcW w:w="4797" w:type="dxa"/>
            <w:vAlign w:val="center"/>
          </w:tcPr>
          <w:p w14:paraId="6929F844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BEV, right-hand drive, minimum 5 doors and minimum 5 adult seating</w:t>
            </w:r>
          </w:p>
        </w:tc>
        <w:tc>
          <w:tcPr>
            <w:tcW w:w="2308" w:type="dxa"/>
            <w:vAlign w:val="center"/>
          </w:tcPr>
          <w:p w14:paraId="0A263ABF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77A87665" w14:textId="77777777" w:rsidR="00C93667" w:rsidRDefault="00C93667" w:rsidP="002A02B0"/>
        </w:tc>
      </w:tr>
      <w:tr w:rsidR="00C93667" w14:paraId="0D8DE9C1" w14:textId="77777777" w:rsidTr="002A02B0">
        <w:trPr>
          <w:jc w:val="center"/>
        </w:trPr>
        <w:tc>
          <w:tcPr>
            <w:tcW w:w="627" w:type="dxa"/>
            <w:vAlign w:val="center"/>
          </w:tcPr>
          <w:p w14:paraId="79C2B1CE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2</w:t>
            </w:r>
          </w:p>
        </w:tc>
        <w:tc>
          <w:tcPr>
            <w:tcW w:w="4797" w:type="dxa"/>
            <w:vAlign w:val="center"/>
          </w:tcPr>
          <w:p w14:paraId="3D2C2B5D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Suitable compact/mid-size/practical full-size SUV/crossover for Nairobi operations, not oversized/heavy-duty off-road style</w:t>
            </w:r>
          </w:p>
        </w:tc>
        <w:tc>
          <w:tcPr>
            <w:tcW w:w="2308" w:type="dxa"/>
            <w:vAlign w:val="center"/>
          </w:tcPr>
          <w:p w14:paraId="62886E9E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27088974" w14:textId="77777777" w:rsidR="00C93667" w:rsidRDefault="00C93667" w:rsidP="002A02B0"/>
        </w:tc>
      </w:tr>
      <w:tr w:rsidR="00C93667" w14:paraId="6C502C60" w14:textId="77777777" w:rsidTr="002A02B0">
        <w:trPr>
          <w:jc w:val="center"/>
        </w:trPr>
        <w:tc>
          <w:tcPr>
            <w:tcW w:w="627" w:type="dxa"/>
            <w:vAlign w:val="center"/>
          </w:tcPr>
          <w:p w14:paraId="184D56F3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3</w:t>
            </w:r>
          </w:p>
        </w:tc>
        <w:tc>
          <w:tcPr>
            <w:tcW w:w="4797" w:type="dxa"/>
            <w:vAlign w:val="center"/>
          </w:tcPr>
          <w:p w14:paraId="6A0D66D7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Minimum 160 mm ground clearance and maximum 5.8 m turning radius</w:t>
            </w:r>
          </w:p>
        </w:tc>
        <w:tc>
          <w:tcPr>
            <w:tcW w:w="2308" w:type="dxa"/>
            <w:vAlign w:val="center"/>
          </w:tcPr>
          <w:p w14:paraId="1F2F39A6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71C34C39" w14:textId="77777777" w:rsidR="00C93667" w:rsidRDefault="00C93667" w:rsidP="002A02B0"/>
        </w:tc>
      </w:tr>
      <w:tr w:rsidR="00C93667" w14:paraId="43F67B16" w14:textId="77777777" w:rsidTr="002A02B0">
        <w:trPr>
          <w:jc w:val="center"/>
        </w:trPr>
        <w:tc>
          <w:tcPr>
            <w:tcW w:w="627" w:type="dxa"/>
            <w:vAlign w:val="center"/>
          </w:tcPr>
          <w:p w14:paraId="5AC360E0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4</w:t>
            </w:r>
          </w:p>
        </w:tc>
        <w:tc>
          <w:tcPr>
            <w:tcW w:w="4797" w:type="dxa"/>
            <w:vAlign w:val="center"/>
          </w:tcPr>
          <w:p w14:paraId="146850E9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Minimum WLTP range 350 km or demonstrated real-world range ≥280 km</w:t>
            </w:r>
          </w:p>
        </w:tc>
        <w:tc>
          <w:tcPr>
            <w:tcW w:w="2308" w:type="dxa"/>
            <w:vAlign w:val="center"/>
          </w:tcPr>
          <w:p w14:paraId="00F4C4D4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492FA5BF" w14:textId="77777777" w:rsidR="00C93667" w:rsidRDefault="00C93667" w:rsidP="002A02B0"/>
        </w:tc>
      </w:tr>
      <w:tr w:rsidR="00C93667" w14:paraId="43F229D9" w14:textId="77777777" w:rsidTr="002A02B0">
        <w:trPr>
          <w:jc w:val="center"/>
        </w:trPr>
        <w:tc>
          <w:tcPr>
            <w:tcW w:w="627" w:type="dxa"/>
            <w:vAlign w:val="center"/>
          </w:tcPr>
          <w:p w14:paraId="61DCD31B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5</w:t>
            </w:r>
          </w:p>
        </w:tc>
        <w:tc>
          <w:tcPr>
            <w:tcW w:w="4797" w:type="dxa"/>
            <w:vAlign w:val="center"/>
          </w:tcPr>
          <w:p w14:paraId="6F9BA406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Energy consumption ≤18 kWh/100 km</w:t>
            </w:r>
          </w:p>
        </w:tc>
        <w:tc>
          <w:tcPr>
            <w:tcW w:w="2308" w:type="dxa"/>
            <w:vAlign w:val="center"/>
          </w:tcPr>
          <w:p w14:paraId="40F065A1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6177973F" w14:textId="77777777" w:rsidR="00C93667" w:rsidRDefault="00C93667" w:rsidP="002A02B0"/>
        </w:tc>
      </w:tr>
      <w:tr w:rsidR="00C93667" w14:paraId="04A4B9EE" w14:textId="77777777" w:rsidTr="002A02B0">
        <w:trPr>
          <w:jc w:val="center"/>
        </w:trPr>
        <w:tc>
          <w:tcPr>
            <w:tcW w:w="627" w:type="dxa"/>
            <w:vAlign w:val="center"/>
          </w:tcPr>
          <w:p w14:paraId="3C3C3B21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6</w:t>
            </w:r>
          </w:p>
        </w:tc>
        <w:tc>
          <w:tcPr>
            <w:tcW w:w="4797" w:type="dxa"/>
            <w:vAlign w:val="center"/>
          </w:tcPr>
          <w:p w14:paraId="6DB53DE6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AC charging minimum 7 kW and Type 2 or equivalent connector</w:t>
            </w:r>
          </w:p>
        </w:tc>
        <w:tc>
          <w:tcPr>
            <w:tcW w:w="2308" w:type="dxa"/>
            <w:vAlign w:val="center"/>
          </w:tcPr>
          <w:p w14:paraId="5D148362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770136EB" w14:textId="77777777" w:rsidR="00C93667" w:rsidRDefault="00C93667" w:rsidP="002A02B0"/>
        </w:tc>
      </w:tr>
      <w:tr w:rsidR="00C93667" w14:paraId="6595C039" w14:textId="77777777" w:rsidTr="002A02B0">
        <w:trPr>
          <w:jc w:val="center"/>
        </w:trPr>
        <w:tc>
          <w:tcPr>
            <w:tcW w:w="627" w:type="dxa"/>
            <w:vAlign w:val="center"/>
          </w:tcPr>
          <w:p w14:paraId="3E7D89F2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7</w:t>
            </w:r>
          </w:p>
        </w:tc>
        <w:tc>
          <w:tcPr>
            <w:tcW w:w="4797" w:type="dxa"/>
            <w:vAlign w:val="center"/>
          </w:tcPr>
          <w:p w14:paraId="7121E260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DC fast charging with CCS2 or equivalent compatible connector</w:t>
            </w:r>
          </w:p>
        </w:tc>
        <w:tc>
          <w:tcPr>
            <w:tcW w:w="2308" w:type="dxa"/>
            <w:vAlign w:val="center"/>
          </w:tcPr>
          <w:p w14:paraId="3BF6786F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79770207" w14:textId="77777777" w:rsidR="00C93667" w:rsidRDefault="00C93667" w:rsidP="002A02B0"/>
        </w:tc>
      </w:tr>
      <w:tr w:rsidR="00C93667" w14:paraId="610A7AF8" w14:textId="77777777" w:rsidTr="002A02B0">
        <w:trPr>
          <w:jc w:val="center"/>
        </w:trPr>
        <w:tc>
          <w:tcPr>
            <w:tcW w:w="627" w:type="dxa"/>
            <w:vAlign w:val="center"/>
          </w:tcPr>
          <w:p w14:paraId="3CFC4A4F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8</w:t>
            </w:r>
          </w:p>
        </w:tc>
        <w:tc>
          <w:tcPr>
            <w:tcW w:w="4797" w:type="dxa"/>
            <w:vAlign w:val="center"/>
          </w:tcPr>
          <w:p w14:paraId="35BB9F5A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Battery warranty 8 years/160,000 km and ≥70% capacity retention</w:t>
            </w:r>
          </w:p>
        </w:tc>
        <w:tc>
          <w:tcPr>
            <w:tcW w:w="2308" w:type="dxa"/>
            <w:vAlign w:val="center"/>
          </w:tcPr>
          <w:p w14:paraId="79DD13B0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31493888" w14:textId="77777777" w:rsidR="00C93667" w:rsidRDefault="00C93667" w:rsidP="002A02B0"/>
        </w:tc>
      </w:tr>
      <w:tr w:rsidR="00C93667" w14:paraId="6AADDCA4" w14:textId="77777777" w:rsidTr="002A02B0">
        <w:trPr>
          <w:jc w:val="center"/>
        </w:trPr>
        <w:tc>
          <w:tcPr>
            <w:tcW w:w="627" w:type="dxa"/>
            <w:vAlign w:val="center"/>
          </w:tcPr>
          <w:p w14:paraId="6A1C5375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9</w:t>
            </w:r>
          </w:p>
        </w:tc>
        <w:tc>
          <w:tcPr>
            <w:tcW w:w="4797" w:type="dxa"/>
            <w:vAlign w:val="center"/>
          </w:tcPr>
          <w:p w14:paraId="5BBAA7C3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Vehicle warranty 5 years/100,000 km and powertrain warranty 8 years/160,000 km</w:t>
            </w:r>
          </w:p>
        </w:tc>
        <w:tc>
          <w:tcPr>
            <w:tcW w:w="2308" w:type="dxa"/>
            <w:vAlign w:val="center"/>
          </w:tcPr>
          <w:p w14:paraId="22C2D223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27044A94" w14:textId="77777777" w:rsidR="00C93667" w:rsidRDefault="00C93667" w:rsidP="002A02B0"/>
        </w:tc>
      </w:tr>
      <w:tr w:rsidR="00C93667" w14:paraId="0D29D6B1" w14:textId="77777777" w:rsidTr="002A02B0">
        <w:trPr>
          <w:jc w:val="center"/>
        </w:trPr>
        <w:tc>
          <w:tcPr>
            <w:tcW w:w="627" w:type="dxa"/>
            <w:vAlign w:val="center"/>
          </w:tcPr>
          <w:p w14:paraId="2AF6675B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10</w:t>
            </w:r>
          </w:p>
        </w:tc>
        <w:tc>
          <w:tcPr>
            <w:tcW w:w="4797" w:type="dxa"/>
            <w:vAlign w:val="center"/>
          </w:tcPr>
          <w:p w14:paraId="49E7D77D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IP67 or equivalent battery protection and reinforced battery underbody protection</w:t>
            </w:r>
          </w:p>
        </w:tc>
        <w:tc>
          <w:tcPr>
            <w:tcW w:w="2308" w:type="dxa"/>
            <w:vAlign w:val="center"/>
          </w:tcPr>
          <w:p w14:paraId="5E42B08C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3F7BD868" w14:textId="77777777" w:rsidR="00C93667" w:rsidRDefault="00C93667" w:rsidP="002A02B0"/>
        </w:tc>
      </w:tr>
      <w:tr w:rsidR="00C93667" w14:paraId="360B1659" w14:textId="77777777" w:rsidTr="002A02B0">
        <w:trPr>
          <w:jc w:val="center"/>
        </w:trPr>
        <w:tc>
          <w:tcPr>
            <w:tcW w:w="627" w:type="dxa"/>
            <w:vAlign w:val="center"/>
          </w:tcPr>
          <w:p w14:paraId="191DEDAA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11</w:t>
            </w:r>
          </w:p>
        </w:tc>
        <w:tc>
          <w:tcPr>
            <w:tcW w:w="4797" w:type="dxa"/>
            <w:vAlign w:val="center"/>
          </w:tcPr>
          <w:p w14:paraId="2C33506D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Mandatory safety features: ABS/ESC/traction control/hill hold/regenerative braking/airbags/rear sensors/reverse camera/TPMS or equivalent</w:t>
            </w:r>
          </w:p>
        </w:tc>
        <w:tc>
          <w:tcPr>
            <w:tcW w:w="2308" w:type="dxa"/>
            <w:vAlign w:val="center"/>
          </w:tcPr>
          <w:p w14:paraId="47A12BE1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0D1D3F1E" w14:textId="77777777" w:rsidR="00C93667" w:rsidRDefault="00C93667" w:rsidP="002A02B0"/>
        </w:tc>
      </w:tr>
      <w:tr w:rsidR="00C93667" w14:paraId="1DC2A4AA" w14:textId="77777777" w:rsidTr="002A02B0">
        <w:trPr>
          <w:jc w:val="center"/>
        </w:trPr>
        <w:tc>
          <w:tcPr>
            <w:tcW w:w="627" w:type="dxa"/>
            <w:vAlign w:val="center"/>
          </w:tcPr>
          <w:p w14:paraId="626533DD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12</w:t>
            </w:r>
          </w:p>
        </w:tc>
        <w:tc>
          <w:tcPr>
            <w:tcW w:w="4797" w:type="dxa"/>
            <w:vAlign w:val="center"/>
          </w:tcPr>
          <w:p w14:paraId="5F8395D3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Mandatory accessories supplied</w:t>
            </w:r>
          </w:p>
        </w:tc>
        <w:tc>
          <w:tcPr>
            <w:tcW w:w="2308" w:type="dxa"/>
            <w:vAlign w:val="center"/>
          </w:tcPr>
          <w:p w14:paraId="5617B91C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672551DE" w14:textId="77777777" w:rsidR="00C93667" w:rsidRDefault="00C93667" w:rsidP="002A02B0"/>
        </w:tc>
      </w:tr>
      <w:tr w:rsidR="00C93667" w14:paraId="5B14B44A" w14:textId="77777777" w:rsidTr="002A02B0">
        <w:trPr>
          <w:jc w:val="center"/>
        </w:trPr>
        <w:tc>
          <w:tcPr>
            <w:tcW w:w="627" w:type="dxa"/>
            <w:vAlign w:val="center"/>
          </w:tcPr>
          <w:p w14:paraId="4F33E0A1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13</w:t>
            </w:r>
          </w:p>
        </w:tc>
        <w:tc>
          <w:tcPr>
            <w:tcW w:w="4797" w:type="dxa"/>
            <w:vAlign w:val="center"/>
          </w:tcPr>
          <w:p w14:paraId="143D5649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Vehicle suitable for -10°C to +50°C, up to 95% humidity and up to 2,500 m altitude</w:t>
            </w:r>
          </w:p>
        </w:tc>
        <w:tc>
          <w:tcPr>
            <w:tcW w:w="2308" w:type="dxa"/>
            <w:vAlign w:val="center"/>
          </w:tcPr>
          <w:p w14:paraId="1023E12D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4B8226BB" w14:textId="77777777" w:rsidR="00C93667" w:rsidRDefault="00C93667" w:rsidP="002A02B0"/>
        </w:tc>
      </w:tr>
      <w:tr w:rsidR="00C93667" w14:paraId="5C72FA2B" w14:textId="77777777" w:rsidTr="002A02B0">
        <w:trPr>
          <w:jc w:val="center"/>
        </w:trPr>
        <w:tc>
          <w:tcPr>
            <w:tcW w:w="627" w:type="dxa"/>
            <w:vAlign w:val="center"/>
          </w:tcPr>
          <w:p w14:paraId="44556B5A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14</w:t>
            </w:r>
          </w:p>
        </w:tc>
        <w:tc>
          <w:tcPr>
            <w:tcW w:w="4797" w:type="dxa"/>
            <w:vAlign w:val="center"/>
          </w:tcPr>
          <w:p w14:paraId="1C0427D3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Mandatory documents in English supplied in printed and electronic PDF copies</w:t>
            </w:r>
          </w:p>
        </w:tc>
        <w:tc>
          <w:tcPr>
            <w:tcW w:w="2308" w:type="dxa"/>
            <w:vAlign w:val="center"/>
          </w:tcPr>
          <w:p w14:paraId="6678921B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3A8A0873" w14:textId="77777777" w:rsidR="00C93667" w:rsidRDefault="00C93667" w:rsidP="002A02B0"/>
        </w:tc>
      </w:tr>
      <w:tr w:rsidR="00C93667" w14:paraId="6314C294" w14:textId="77777777" w:rsidTr="002A02B0">
        <w:trPr>
          <w:jc w:val="center"/>
        </w:trPr>
        <w:tc>
          <w:tcPr>
            <w:tcW w:w="627" w:type="dxa"/>
            <w:vAlign w:val="center"/>
          </w:tcPr>
          <w:p w14:paraId="41F42E05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15</w:t>
            </w:r>
          </w:p>
        </w:tc>
        <w:tc>
          <w:tcPr>
            <w:tcW w:w="4797" w:type="dxa"/>
            <w:vAlign w:val="center"/>
          </w:tcPr>
          <w:p w14:paraId="4F964CF5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Authorized/certified EV service support in Kenya, preferably Nairobi</w:t>
            </w:r>
          </w:p>
        </w:tc>
        <w:tc>
          <w:tcPr>
            <w:tcW w:w="2308" w:type="dxa"/>
            <w:vAlign w:val="center"/>
          </w:tcPr>
          <w:p w14:paraId="5413365C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00193BB8" w14:textId="77777777" w:rsidR="00C93667" w:rsidRDefault="00C93667" w:rsidP="002A02B0"/>
        </w:tc>
      </w:tr>
      <w:tr w:rsidR="00C93667" w14:paraId="43615143" w14:textId="77777777" w:rsidTr="002A02B0">
        <w:trPr>
          <w:jc w:val="center"/>
        </w:trPr>
        <w:tc>
          <w:tcPr>
            <w:tcW w:w="627" w:type="dxa"/>
            <w:vAlign w:val="center"/>
          </w:tcPr>
          <w:p w14:paraId="2E79A593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16</w:t>
            </w:r>
          </w:p>
        </w:tc>
        <w:tc>
          <w:tcPr>
            <w:tcW w:w="4797" w:type="dxa"/>
            <w:vAlign w:val="center"/>
          </w:tcPr>
          <w:p w14:paraId="0BD1B88B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48-hour technical support response and eight-year spare parts support commitment</w:t>
            </w:r>
          </w:p>
        </w:tc>
        <w:tc>
          <w:tcPr>
            <w:tcW w:w="2308" w:type="dxa"/>
            <w:vAlign w:val="center"/>
          </w:tcPr>
          <w:p w14:paraId="07A1728F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57B4850E" w14:textId="77777777" w:rsidR="00C93667" w:rsidRDefault="00C93667" w:rsidP="002A02B0"/>
        </w:tc>
      </w:tr>
      <w:tr w:rsidR="00C93667" w14:paraId="5B7A68C3" w14:textId="77777777" w:rsidTr="002A02B0">
        <w:trPr>
          <w:jc w:val="center"/>
        </w:trPr>
        <w:tc>
          <w:tcPr>
            <w:tcW w:w="627" w:type="dxa"/>
            <w:vAlign w:val="center"/>
          </w:tcPr>
          <w:p w14:paraId="077755C1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17</w:t>
            </w:r>
          </w:p>
        </w:tc>
        <w:tc>
          <w:tcPr>
            <w:tcW w:w="4797" w:type="dxa"/>
            <w:vAlign w:val="center"/>
          </w:tcPr>
          <w:p w14:paraId="08217B7F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Battery lifecycle/replacement/recycling/end-of-life information provided</w:t>
            </w:r>
          </w:p>
        </w:tc>
        <w:tc>
          <w:tcPr>
            <w:tcW w:w="2308" w:type="dxa"/>
            <w:vAlign w:val="center"/>
          </w:tcPr>
          <w:p w14:paraId="078B7B53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0D06DDDF" w14:textId="77777777" w:rsidR="00C93667" w:rsidRDefault="00C93667" w:rsidP="002A02B0"/>
        </w:tc>
      </w:tr>
      <w:tr w:rsidR="00C93667" w14:paraId="57E03FED" w14:textId="77777777" w:rsidTr="002A02B0">
        <w:trPr>
          <w:jc w:val="center"/>
        </w:trPr>
        <w:tc>
          <w:tcPr>
            <w:tcW w:w="627" w:type="dxa"/>
            <w:vAlign w:val="center"/>
          </w:tcPr>
          <w:p w14:paraId="0211D5E3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18</w:t>
            </w:r>
          </w:p>
        </w:tc>
        <w:tc>
          <w:tcPr>
            <w:tcW w:w="4797" w:type="dxa"/>
            <w:vAlign w:val="center"/>
          </w:tcPr>
          <w:p w14:paraId="01471F2A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Delivery to IOM Nairobi with registration/lawful operation documents and pre-delivery inspection report</w:t>
            </w:r>
          </w:p>
        </w:tc>
        <w:tc>
          <w:tcPr>
            <w:tcW w:w="2308" w:type="dxa"/>
            <w:vAlign w:val="center"/>
          </w:tcPr>
          <w:p w14:paraId="20833C7E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65B47B04" w14:textId="77777777" w:rsidR="00C93667" w:rsidRDefault="00C93667" w:rsidP="002A02B0"/>
        </w:tc>
      </w:tr>
      <w:tr w:rsidR="00C93667" w14:paraId="085191B3" w14:textId="77777777" w:rsidTr="002A02B0">
        <w:trPr>
          <w:jc w:val="center"/>
        </w:trPr>
        <w:tc>
          <w:tcPr>
            <w:tcW w:w="627" w:type="dxa"/>
            <w:vAlign w:val="center"/>
          </w:tcPr>
          <w:p w14:paraId="510145CE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19</w:t>
            </w:r>
          </w:p>
        </w:tc>
        <w:tc>
          <w:tcPr>
            <w:tcW w:w="4797" w:type="dxa"/>
            <w:vAlign w:val="center"/>
          </w:tcPr>
          <w:p w14:paraId="38DFE074" w14:textId="77777777" w:rsidR="00C93667" w:rsidRPr="005E20A8" w:rsidRDefault="00C93667" w:rsidP="002A02B0">
            <w:pPr>
              <w:rPr>
                <w:sz w:val="18"/>
                <w:szCs w:val="28"/>
              </w:rPr>
            </w:pPr>
            <w:r w:rsidRPr="005E20A8">
              <w:rPr>
                <w:sz w:val="18"/>
                <w:szCs w:val="28"/>
              </w:rPr>
              <w:t>Handover orientation/basic EV training included</w:t>
            </w:r>
          </w:p>
        </w:tc>
        <w:tc>
          <w:tcPr>
            <w:tcW w:w="2308" w:type="dxa"/>
            <w:vAlign w:val="center"/>
          </w:tcPr>
          <w:p w14:paraId="7FB29C33" w14:textId="77777777" w:rsidR="00C93667" w:rsidRPr="00837756" w:rsidRDefault="00C93667" w:rsidP="002A02B0">
            <w:pPr>
              <w:rPr>
                <w:sz w:val="16"/>
                <w:szCs w:val="24"/>
              </w:rPr>
            </w:pPr>
            <w:r w:rsidRPr="00837756">
              <w:rPr>
                <w:sz w:val="16"/>
                <w:szCs w:val="24"/>
              </w:rPr>
              <w:t xml:space="preserve">☐ </w:t>
            </w:r>
            <w:proofErr w:type="gramStart"/>
            <w:r w:rsidRPr="00837756">
              <w:rPr>
                <w:sz w:val="16"/>
                <w:szCs w:val="24"/>
              </w:rPr>
              <w:t>Compliant  ☐</w:t>
            </w:r>
            <w:proofErr w:type="gramEnd"/>
            <w:r w:rsidRPr="00837756">
              <w:rPr>
                <w:sz w:val="16"/>
                <w:szCs w:val="24"/>
              </w:rPr>
              <w:t xml:space="preserve"> Partially Compliant       ☐ </w:t>
            </w:r>
            <w:proofErr w:type="gramStart"/>
            <w:r w:rsidRPr="00837756">
              <w:rPr>
                <w:sz w:val="16"/>
                <w:szCs w:val="24"/>
              </w:rPr>
              <w:t>Non-Compliant</w:t>
            </w:r>
            <w:proofErr w:type="gramEnd"/>
          </w:p>
        </w:tc>
        <w:tc>
          <w:tcPr>
            <w:tcW w:w="2004" w:type="dxa"/>
            <w:vAlign w:val="center"/>
          </w:tcPr>
          <w:p w14:paraId="021F5D79" w14:textId="77777777" w:rsidR="00C93667" w:rsidRDefault="00C93667" w:rsidP="002A02B0"/>
        </w:tc>
      </w:tr>
    </w:tbl>
    <w:p w14:paraId="3C4F2FFC" w14:textId="77777777" w:rsidR="00C93667" w:rsidRDefault="00C93667" w:rsidP="00C93667"/>
    <w:p w14:paraId="44F0AA9B" w14:textId="77777777" w:rsidR="00C93667" w:rsidRPr="003563DF" w:rsidRDefault="00C93667" w:rsidP="00C93667">
      <w:pPr>
        <w:rPr>
          <w:rFonts w:cstheme="minorHAnsi"/>
          <w:b/>
          <w:sz w:val="20"/>
          <w:szCs w:val="20"/>
        </w:rPr>
      </w:pPr>
    </w:p>
    <w:p w14:paraId="3D45BC14" w14:textId="77777777" w:rsidR="00BA32A3" w:rsidRDefault="00BA32A3"/>
    <w:sectPr w:rsidR="00BA32A3" w:rsidSect="00C93667">
      <w:headerReference w:type="default" r:id="rId4"/>
      <w:footerReference w:type="default" r:id="rId5"/>
      <w:pgSz w:w="11906" w:h="16838"/>
      <w:pgMar w:top="810" w:right="1077" w:bottom="990" w:left="1077" w:header="360" w:footer="9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1" w:type="dxa"/>
      <w:tblLayout w:type="fixed"/>
      <w:tblLook w:val="06A0" w:firstRow="1" w:lastRow="0" w:firstColumn="1" w:lastColumn="0" w:noHBand="1" w:noVBand="1"/>
    </w:tblPr>
    <w:tblGrid>
      <w:gridCol w:w="2437"/>
      <w:gridCol w:w="7514"/>
    </w:tblGrid>
    <w:tr w:rsidR="00C93667" w14:paraId="52244FFD" w14:textId="77777777" w:rsidTr="008066D6">
      <w:tc>
        <w:tcPr>
          <w:tcW w:w="1701" w:type="dxa"/>
        </w:tcPr>
        <w:p w14:paraId="65B99B9A" w14:textId="77777777" w:rsidR="00C93667" w:rsidRDefault="00C93667" w:rsidP="0094573B">
          <w:pPr>
            <w:pStyle w:val="Header"/>
            <w:ind w:left="-115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4FA8E4F" wp14:editId="6B3235D4">
                <wp:simplePos x="0" y="0"/>
                <wp:positionH relativeFrom="column">
                  <wp:posOffset>1270</wp:posOffset>
                </wp:positionH>
                <wp:positionV relativeFrom="paragraph">
                  <wp:posOffset>151209</wp:posOffset>
                </wp:positionV>
                <wp:extent cx="563880" cy="283845"/>
                <wp:effectExtent l="0" t="0" r="0" b="0"/>
                <wp:wrapTight wrapText="bothSides">
                  <wp:wrapPolygon edited="0">
                    <wp:start x="0" y="0"/>
                    <wp:lineTo x="0" y="20295"/>
                    <wp:lineTo x="21162" y="20295"/>
                    <wp:lineTo x="21162" y="0"/>
                    <wp:lineTo x="0" y="0"/>
                  </wp:wrapPolygon>
                </wp:wrapTight>
                <wp:docPr id="1367234537" name="Picture 1367234537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283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45" w:type="dxa"/>
        </w:tcPr>
        <w:p w14:paraId="1C935EF4" w14:textId="77777777" w:rsidR="00C93667" w:rsidRDefault="00C93667" w:rsidP="0094573B">
          <w:pPr>
            <w:spacing w:after="0" w:line="240" w:lineRule="auto"/>
            <w:ind w:left="141" w:right="-1774" w:hanging="141"/>
            <w:rPr>
              <w:rFonts w:cstheme="minorHAnsi"/>
              <w:bCs/>
              <w:color w:val="0033A1"/>
              <w:sz w:val="20"/>
              <w:szCs w:val="20"/>
            </w:rPr>
          </w:pPr>
        </w:p>
        <w:p w14:paraId="5CAE81B8" w14:textId="77777777" w:rsidR="00C93667" w:rsidRDefault="00C93667" w:rsidP="0094573B">
          <w:pPr>
            <w:spacing w:after="0" w:line="240" w:lineRule="auto"/>
            <w:ind w:left="141" w:right="-1774" w:hanging="141"/>
            <w:rPr>
              <w:rFonts w:cstheme="minorHAnsi"/>
              <w:bCs/>
              <w:color w:val="0033A1"/>
              <w:sz w:val="20"/>
              <w:szCs w:val="20"/>
            </w:rPr>
          </w:pPr>
          <w:r>
            <w:rPr>
              <w:rFonts w:cstheme="minorHAnsi"/>
              <w:bCs/>
              <w:color w:val="0033A1"/>
              <w:sz w:val="20"/>
              <w:szCs w:val="20"/>
            </w:rPr>
            <w:t>IN/168 (Rev.3): Procurement Manual_</w:t>
          </w:r>
          <w:r>
            <w:t xml:space="preserve"> </w:t>
          </w:r>
          <w:r>
            <w:rPr>
              <w:rFonts w:cstheme="minorHAnsi"/>
              <w:bCs/>
              <w:color w:val="0033A1"/>
              <w:sz w:val="20"/>
              <w:szCs w:val="20"/>
            </w:rPr>
            <w:t>Annex 19_ effective on 17 March 2023</w:t>
          </w:r>
        </w:p>
        <w:p w14:paraId="2DB349D6" w14:textId="77777777" w:rsidR="00C93667" w:rsidRDefault="00C93667" w:rsidP="0094573B">
          <w:pPr>
            <w:pStyle w:val="Header"/>
          </w:pPr>
        </w:p>
      </w:tc>
    </w:tr>
  </w:tbl>
  <w:p w14:paraId="561D6E0E" w14:textId="77777777" w:rsidR="00C93667" w:rsidRDefault="00C9366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5</w:t>
    </w:r>
    <w:r>
      <w:rPr>
        <w:color w:val="000000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E595" w14:textId="77777777" w:rsidR="00C93667" w:rsidRDefault="00C93667" w:rsidP="0037504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468EF430" wp14:editId="753AA42F">
          <wp:extent cx="1166495" cy="439420"/>
          <wp:effectExtent l="0" t="0" r="0" b="0"/>
          <wp:docPr id="83129778" name="Bild 2" descr="Hom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 2" descr="Hom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495" cy="43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667"/>
    <w:rsid w:val="00353946"/>
    <w:rsid w:val="008F1139"/>
    <w:rsid w:val="009037FA"/>
    <w:rsid w:val="00BA32A3"/>
    <w:rsid w:val="00C9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A090E"/>
  <w15:chartTrackingRefBased/>
  <w15:docId w15:val="{CF4E26EC-BA39-444A-8BAF-5CAF18BE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667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6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6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66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66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66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66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66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66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66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6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6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6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6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6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6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3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66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3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66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36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667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36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6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9366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3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667"/>
    <w:rPr>
      <w:rFonts w:ascii="Calibri" w:eastAsia="Calibri" w:hAnsi="Calibri" w:cs="Calibri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2443</Characters>
  <Application>Microsoft Office Word</Application>
  <DocSecurity>0</DocSecurity>
  <Lines>74</Lines>
  <Paragraphs>46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OSENGO Kennethy</dc:creator>
  <cp:keywords/>
  <dc:description/>
  <cp:lastModifiedBy>OSENGO Kennethy</cp:lastModifiedBy>
  <cp:revision>1</cp:revision>
  <dcterms:created xsi:type="dcterms:W3CDTF">2026-08-20T07:24:00Z</dcterms:created>
  <dcterms:modified xsi:type="dcterms:W3CDTF">2026-08-20T07:26:00Z</dcterms:modified>
</cp:coreProperties>
</file>