
<file path=[Content_Types].xml><?xml version="1.0" encoding="utf-8"?>
<Types xmlns="http://schemas.openxmlformats.org/package/2006/content-types">
  <Override PartName="/customXml/itemProps2.xml" ContentType="application/vnd.openxmlformats-officedocument.customXmlProperti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Default Extension="rels" ContentType="application/vnd.openxmlformats-package.relationships+xml"/>
  <Override PartName="/customXml/itemProps1.xml" ContentType="application/vnd.openxmlformats-officedocument.customXmlProperties+xml"/>
  <Override PartName="/docProps/custom.xml" ContentType="application/vnd.openxmlformats-officedocument.custom-propertie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 = '1.0' encoding = 'UTF-8' standalone = 'yes'?>
<Relationships xmlns="http://schemas.openxmlformats.org/package/2006/relationships" xmlns:ve="http://schemas.openxmlformats.org/markup-compatibility/2006" xmlns:w="http://schemas.openxmlformats.org/wordprocessingml/2006/main" xmlns:v="urn:schemas-microsoft-com:vml" xmlns:dt="uuid:C2F41010-65B3-11d1-A29F-00AA00C14882"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Relationship Id="rId1" Type="http://schemas.openxmlformats.org/officeDocument/2006/relationships/officeDocument" Target="word/document.xml"/><Relationship Id="rId4" Type="http://schemas.openxmlformats.org/officeDocument/2006/relationships/custom-properties" Target="docProps/custom.xml"/><Relationship Id="rId2"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dt="uuid:C2F41010-65B3-11d1-A29F-00AA00C14882" xmlns:fo="http://www.w3.org/1999/XSL/Format" xmlns:pkg="http://schemas.microsoft.com/office/2006/xmlPackage" xmlns:xdofo="http://xmlns.oracle.com/oxp/fo/extensions">
  <w:body>
    <w:sdt>
      <w:sdtPr>
        <w:tag w:val="SectionTitle@300001394242797$AlignmentOKC_PRINT_LEFT$SkipNumberingY$StartOnNewPageN$SuppressTitlePrintY"/>
        <w:id w:val="300001394242797"/>
        <w:placeholder>
          <w:docPart w:val="DefaultPlaceholder_22675703"/>
        </w:placeholder>
      </w:sdtPr>
      <w:sdtContent>
        <w:p>
          <w:pPr>
            <w:jc w:val="left"/>
            <w:pStyle w:val="Heading1"/>
          </w:pPr>
          <w:r>
            <w:rPr/>
            <w:t>Purchase Order for Goods (D1)_FR</w:t>
          </w:r>
        </w:p>
      </w:sdtContent>
    </w:sdt>
    <w:sdt>
      <w:sdtPr>
        <w:tag w:val="ClauseTitle@300001394242798$SkipNumberingY$SuppressTitlePrintY"/>
        <w:id w:val="300001394242798"/>
        <w:placeholder>
          <w:docPart w:val="DefaultPlaceholder_22675703"/>
        </w:placeholder>
      </w:sdtPr>
      <w:sdtContent>
        <w:p>
          <w:pPr>
            <w:pStyle w:val="ClauseTitle2"/>
          </w:pPr>
          <w:r>
            <w:rPr/>
            <w:t>Purchase Order for Goods (D1)_FR</w:t>
          </w:r>
        </w:p>
      </w:sdtContent>
    </w:sdt>
    <w:altChunk r:id="ARTICLE300001394242798"/>
    <w:p>
      <w:pPr>
        <w:numPr>
          <w:numId w:val="0"/>
        </w:numPr>
      </w:pPr>
    </w:p>
    <w:bookmarkStart w:id="lastPage" w:name=""/>
    <w:bookmarkEnd w:id="lastPage"/>
    <w:sectPr>
      <w:headerReference w:type="default" r:id="HeaderId1"/>
      <w:footerReference w:type="default" r:id="FooterId1"/>
      <w:pgSz w:h="15840" w:w="12240"/>
      <w:pgMar w:top="630" w:header="547" w:bottom="810" w:footer="720" w:left="1877" w:right="1593"/>
    </w:sectPr>
  </w:body>
</w:document>
</file>

<file path=word/ARTICLE300001394242798.xml><?xml version="1.0" encoding="utf-8"?>
<?mso-application progid="Word.Document"?>
<pkg:package xmlns:pkg="http://schemas.microsoft.com/office/2006/xmlPackage">
  <pkg:part pkg:name="/_rels/.rels" pkg:contentType="application/vnd.openxmlformats-package.relationships+xml" pkg:padding="512">
    <pkg:xmlData>
      <Relationships xmlns="http://schemas.openxmlformats.org/package/2006/relationships">
        <Relationship Id="rId1" Type="http://schemas.openxmlformats.org/officeDocument/2006/relationships/officeDocument" Target="word/document.xml"/>
      </Relationships>
    </pkg:xmlData>
  </pkg:part>
  <pkg:part pkg:name="/word/_rels/document.xml.rels" pkg:contentType="application/vnd.openxmlformats-package.relationships+xml" pkg:padding="256">
    <pkg:xmlData>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10" Type="http://schemas.openxmlformats.org/officeDocument/2006/relationships/header" Target="header3.xml"/>
      </Relationships>
    </pkg:xmlData>
  </pkg:part>
  <pkg:part pkg:name="/word/numbering.xml" pkg:contentType="application/vnd.openxmlformats-officedocument.wordprocessingml.numbering+xml">
    <pkg:xmlData>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pkg:xmlData>
  </pkg:part>
  <pkg:part pkg:name="/word/styles.xml" pkg:contentType="application/vnd.openxmlformats-officedocument.wordprocessingml.styles+xml">
    <pkg:xmlData>
      <w:styles xmlns:r="http://schemas.openxmlformats.org/officeDocument/2006/relationships" xmlns:w="http://schemas.openxmlformats.org/wordprocessingml/2006/main">
        <w:versionOfBuiltInStylenames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val="4"/>
        <w:latentStyles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defLockedState="off" w:latentStyleCount="156"/>
        <w:style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type="paragraph" w:default="1" w:styleId="Normal">
          <w:name w:val="Normal"/>
          <w:qFormat/>
          <w:rsid w:val="00344AE4"/>
        </w:style>
        <w:style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type="character" w:default="1" w:styleId="DefaultParagraphFont">
          <w:name w:val="Default Paragraph Font"/>
          <w:uiPriority w:val="1"/>
          <w:semiHidden/>
          <w:unhideWhenUsed/>
        </w:style>
        <w:style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type="table" w:default="1" w:styleId="TableNormal">
          <w:name w:val="Normal Table"/>
          <w:uiPriority w:val="99"/>
          <w:semiHidden/>
          <w:unhideWhenUsed/>
          <w:qFormat/>
          <w:tblPr>
            <w:tblInd w:w="0" w:type="dxa"/>
            <w:tblCellMar>
              <w:top w:w="0" w:type="dxa"/>
              <w:left w:w="108" w:type="dxa"/>
              <w:bottom w:w="0" w:type="dxa"/>
              <w:right w:w="108" w:type="dxa"/>
            </w:tblCellMar>
          </w:tblPr>
        </w:style>
        <w:style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type="numbering" w:default="1" w:styleId="NoList">
          <w:name w:val="No List"/>
          <w:uiPriority w:val="99"/>
          <w:semiHidden/>
          <w:unhideWhenUsed/>
        </w:style>
        <w:style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type="paragraph" w:styleId="ListParagraph">
          <w:name w:val="List Paragraph"/>
          <w:basedOn w:val="Normal"/>
          <w:uiPriority w:val="34"/>
          <w:qFormat/>
          <w:rsid w:val="00565907"/>
          <w:pPr>
            <w:contextualSpacing/>
          </w:pPr>
        </w:style>
        <w:style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type="paragraph" w:styleId="Heading1">
          <w:name w:val="heading 1"/>
          <w:basedOn w:val="Normal"/>
          <w:next w:val="Normal"/>
          <w:link w:val="Heading1Char"/>
          <w:uiPriority w:val="9"/>
          <w:qFormat/>
          <w:rsid w:val="009A2891"/>
          <w:pPr>
            <w:keepNext/>
            <w:keepLines/>
            <w:spacing w:before="480"/>
            <w:outlineLvl w:val="0"/>
          </w:pPr>
          <w:rPr>
            <w:rFonts w:asciiTheme="majorHAnsi" w:eastAsiaTheme="majorEastAsia" w:hAnsiTheme="majorHAnsi" w:cstheme="majorBidi"/>
            <w:b/>
            <w:bCs/>
            <w:color w:val="365F91" w:themeColor="accent1" w:themeShade="BF"/>
            <w:sz w:val="28"/>
            <w:szCs w:val="28"/>
          </w:rPr>
        </w:style>
        <w:style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type="paragraph" w:styleId="Heading2">
          <w:name w:val="heading 2"/>
          <w:basedOn w:val="Normal"/>
          <w:next w:val="Normal"/>
          <w:link w:val="Heading2Char"/>
          <w:uiPriority w:val="9"/>
          <w:unhideWhenUsed/>
          <w:qFormat/>
          <w:rsid w:val="00482893"/>
          <w:pPr>
            <w:keepNext/>
            <w:keepLines/>
            <w:spacing w:before="200"/>
            <w:outlineLvl w:val="1"/>
          </w:pPr>
          <w:rPr>
            <w:rFonts w:asciiTheme="majorHAnsi" w:eastAsiaTheme="majorEastAsia" w:hAnsiTheme="majorHAnsi" w:cstheme="majorBidi"/>
            <w:b/>
            <w:bCs/>
            <w:color w:val="4F81BD" w:themeColor="accent1"/>
            <w:sz w:val="26"/>
            <w:szCs w:val="26"/>
          </w:rPr>
        </w:style>
        <w:style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type="paragraph" w:styleId="Heading3">
          <w:name w:val="heading 3"/>
          <w:basedOn w:val="Normal"/>
          <w:next w:val="Normal"/>
          <w:link w:val="Heading3Char"/>
          <w:uiPriority w:val="9"/>
          <w:unhideWhenUsed/>
          <w:qFormat/>
          <w:rsid w:val="00482893"/>
          <w:pPr>
            <w:keepNext/>
            <w:keepLines/>
            <w:spacing w:before="200"/>
            <w:outlineLvl w:val="2"/>
          </w:pPr>
          <w:rPr>
            <w:rFonts w:asciiTheme="majorHAnsi" w:eastAsiaTheme="majorEastAsia" w:hAnsiTheme="majorHAnsi" w:cstheme="majorBidi"/>
            <w:b/>
            <w:bCs/>
            <w:color w:val="4F81BD" w:themeColor="accent1"/>
          </w:rPr>
        </w:style>
        <w:style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type="paragraph" w:styleId="Heading4">
          <w:name w:val="heading 4"/>
          <w:basedOn w:val="Normal"/>
          <w:next w:val="Normal"/>
          <w:link w:val="Heading4Char"/>
          <w:uiPriority w:val="9"/>
          <w:unhideWhenUsed/>
          <w:qFormat/>
          <w:rsid w:val="00482893"/>
          <w:pPr>
            <w:keepNext/>
            <w:keepLines/>
            <w:spacing w:before="200"/>
            <w:outlineLvl w:val="3"/>
          </w:pPr>
          <w:rPr>
            <w:rFonts w:asciiTheme="majorHAnsi" w:eastAsiaTheme="majorEastAsia" w:hAnsiTheme="majorHAnsi" w:cstheme="majorBidi"/>
            <w:b/>
            <w:bCs/>
            <w:i/>
            <w:iCs/>
            <w:color w:val="4F81BD" w:themeColor="accent1"/>
          </w:rPr>
        </w:style>
        <w:style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type="paragraph" w:styleId="Heading5">
          <w:name w:val="heading 5"/>
          <w:basedOn w:val="Normal"/>
          <w:next w:val="Normal"/>
          <w:link w:val="Heading5Char"/>
          <w:uiPriority w:val="9"/>
          <w:unhideWhenUsed/>
          <w:qFormat/>
          <w:rsid w:val="00482893"/>
          <w:pPr>
            <w:keepNext/>
            <w:keepLines/>
            <w:spacing w:before="200"/>
            <w:outlineLvl w:val="4"/>
          </w:pPr>
          <w:rPr>
            <w:rFonts w:asciiTheme="majorHAnsi" w:eastAsiaTheme="majorEastAsia" w:hAnsiTheme="majorHAnsi" w:cstheme="majorBidi"/>
            <w:color w:val="243F60" w:themeColor="accent1" w:themeShade="7F"/>
          </w:rPr>
        </w:style>
        <w:style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type="paragraph" w:styleId="Heading6">
          <w:name w:val="heading 6"/>
          <w:basedOn w:val="Normal"/>
          <w:next w:val="Normal"/>
          <w:link w:val="Heading6Char"/>
          <w:uiPriority w:val="9"/>
          <w:unhideWhenUsed/>
          <w:qFormat/>
          <w:rsid w:val="00482893"/>
          <w:pPr>
            <w:keepNext/>
            <w:keepLines/>
            <w:spacing w:before="200"/>
            <w:outlineLvl w:val="5"/>
          </w:pPr>
          <w:rPr>
            <w:rFonts w:asciiTheme="majorHAnsi" w:eastAsiaTheme="majorEastAsia" w:hAnsiTheme="majorHAnsi" w:cstheme="majorBidi"/>
            <w:i/>
            <w:iCs/>
            <w:color w:val="243F60" w:themeColor="accent1" w:themeShade="7F"/>
          </w:rPr>
        </w:style>
        <w:style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type="paragraph" w:styleId="Heading7">
          <w:name w:val="heading 7"/>
          <w:basedOn w:val="Normal"/>
          <w:next w:val="Normal"/>
          <w:link w:val="Heading7Char"/>
          <w:uiPriority w:val="9"/>
          <w:unhideWhenUsed/>
          <w:qFormat/>
          <w:rsid w:val="00482893"/>
          <w:pPr>
            <w:keepNext/>
            <w:keepLines/>
            <w:spacing w:before="200"/>
            <w:outlineLvl w:val="6"/>
          </w:pPr>
          <w:rPr>
            <w:rFonts w:asciiTheme="majorHAnsi" w:eastAsiaTheme="majorEastAsia" w:hAnsiTheme="majorHAnsi" w:cstheme="majorBidi"/>
            <w:i/>
            <w:iCs/>
            <w:color w:val="404040" w:themeColor="text1" w:themeTint="BF"/>
          </w:rPr>
        </w:style>
        <w:style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type="paragraph" w:styleId="Heading8">
          <w:name w:val="heading 8"/>
          <w:basedOn w:val="Normal"/>
          <w:next w:val="Normal"/>
          <w:link w:val="Heading8Char"/>
          <w:uiPriority w:val="9"/>
          <w:unhideWhenUsed/>
          <w:qFormat/>
          <w:rsid w:val="00482893"/>
          <w:pPr>
            <w:keepNext/>
            <w:keepLines/>
            <w:spacing w:before="200"/>
            <w:outlineLvl w:val="7"/>
          </w:pPr>
          <w:rPr>
            <w:rFonts w:asciiTheme="majorHAnsi" w:eastAsiaTheme="majorEastAsia" w:hAnsiTheme="majorHAnsi" w:cstheme="majorBidi"/>
            <w:color w:val="404040" w:themeColor="text1" w:themeTint="BF"/>
            <w:sz w:val="20"/>
            <w:szCs w:val="20"/>
          </w:rPr>
        </w:style>
        <w:style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type="paragraph" w:styleId="Heading9">
          <w:name w:val="heading 9"/>
          <w:basedOn w:val="Normal"/>
          <w:next w:val="Normal"/>
          <w:link w:val="Heading9Char"/>
          <w:uiPriority w:val="9"/>
          <w:unhideWhenUsed/>
          <w:qFormat/>
          <w:rsid w:val="00482893"/>
          <w:pPr>
            <w:keepNext/>
            <w:keepLines/>
            <w:spacing w:before="200"/>
            <w:outlineLvl w:val="8"/>
          </w:pPr>
          <w:rPr>
            <w:rFonts w:asciiTheme="majorHAnsi" w:eastAsiaTheme="majorEastAsia" w:hAnsiTheme="majorHAnsi" w:cstheme="majorBidi"/>
            <w:i/>
            <w:iCs/>
            <w:color w:val="404040" w:themeColor="text1" w:themeTint="BF"/>
            <w:sz w:val="20"/>
            <w:szCs w:val="20"/>
          </w:rPr>
        </w:style>
        <w:style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type="paragraph" w:customStyle="1" w:styleId="ClauseTitle2">
          <w:name w:val="ClauseTitle2"/>
          <w:basedOn w:val="Heading2"/>
          <w:qFormat/>
          <w:rsid w:val="003952C0"/>
        </w:style>
        <w:style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type="paragraph" w:customStyle="1" w:styleId="ClauseTitle3">
          <w:name w:val="ClauseTitle3"/>
          <w:basedOn w:val="Heading3"/>
          <w:qFormat/>
          <w:rsid w:val="003952C0"/>
        </w:style>
        <w:style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type="paragraph" w:customStyle="1" w:styleId="ClauseTitle4">
          <w:name w:val="ClauseTitle4"/>
          <w:basedOn w:val="Heading4"/>
          <w:qFormat/>
          <w:rsid w:val="003952C0"/>
        </w:style>
        <w:style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type="paragraph" w:customStyle="1" w:styleId="ClauseTitle5">
          <w:name w:val="ClauseTitle5"/>
          <w:basedOn w:val="Heading5"/>
          <w:qFormat/>
          <w:rsid w:val="003952C0"/>
        </w:style>
        <w:style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type="paragraph" w:customStyle="1" w:styleId="ClauseTitle6">
          <w:name w:val="ClauseTitle6"/>
          <w:basedOn w:val="Heading6"/>
          <w:qFormat/>
          <w:rsid w:val="003952C0"/>
        </w:style>
        <w:style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type="paragraph" w:customStyle="1" w:styleId="ClauseTitle7">
          <w:name w:val="ClauseTitle7"/>
          <w:basedOn w:val="Heading7"/>
          <w:qFormat/>
          <w:rsid w:val="003952C0"/>
        </w:style>
        <w:style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type="paragraph" w:customStyle="1" w:styleId="ClauseTitle8">
          <w:name w:val="ClauseTitle8"/>
          <w:basedOn w:val="Heading8"/>
          <w:qFormat/>
          <w:rsid w:val="003952C0"/>
        </w:style>
        <w:style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type="paragraph" w:customStyle="1" w:styleId="ClauseTitle9">
          <w:name w:val="ClauseTitle9"/>
          <w:basedOn w:val="Heading9"/>
          <w:qFormat/>
          <w:rsid w:val="003952C0"/>
        </w:style>
        <w:style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type="paragraph" w:styleId="BodyText">
          <w:name w:val="Body Text"/>
          <w:basedOn w:val="Normal"/>
          <w:link w:val="BodyTextChar"/>
          <w:uiPriority w:val="99"/>
          <w:semiHidden/>
          <w:unhideWhenUsed/>
          <w:rsid w:val="002C5453"/>
          <w:pPr>
            <w:spacing w:after="120"/>
          </w:pPr>
        </w:style>
        <w:style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type="table" w:styleId="TableGrid">
          <w:name w:val="Table Grid"/>
          <w:basedOn w:val="TableNormal"/>
          <w:uiPriority w:val="59"/>
          <w:rsid w:val="002C545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type="character" w:styleId="Hyperlink">
          <w:name w:val="Hyperlink"/>
          <w:basedOn w:val="DefaultParagraphFont"/>
          <w:uiPriority w:val="99"/>
          <w:semiHidden/>
          <w:unhideWhenUsed/>
          <w:rsid w:val="00871E4D"/>
          <w:rPr>
            <w:color w:val="0000FF" w:themeColor="hyperlink"/>
            <w:u w:val="single"/>
          </w:rPr>
        </w:style>
      </w:styles>
    </pkg:xmlData>
  </pkg:part>
  <pkg:part pkg:name="/word/settings.xml" pkg:contentType="application/vnd.openxmlformats-officedocument.wordprocessingml.settings+xml">
    <pkg:xmlData>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percent="100"/>
        <w:proofState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spelling="clean" w:grammar="clean"/>
        <w:defaultTabStop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val="720"/>
        <w:characterSpacingControl xmlns:w="http://schemas.openxmlformats.org/wordprocessingml/2006/main" xmlns:jstring="http://www.oracle.com/XSL/Transform/java/java.lang.String"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val="doNotCompress"/>
        <w:compat xmlns:jstring="http://www.oracle.com/XSL/Transform/java/java.lang.String" xmlns:w="http://schemas.openxmlformats.org/wordprocessingml/2006/main"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settings>
    </pkg:xmlData>
  </pkg:part>
  <pkg:part pkg:name="/word/document.xml" pkg:contentType="application/vnd.openxmlformats-officedocument.wordprocessingml.document.main+xml">
    <pkg:xmlData>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xmlns:jstring="http://www.oracle.com/XSL/Transform/java/java.lang.String" xmlns:w="http://schemas.openxmlformats.org/wordprocessingml/2006/main" xmlns:ve="http://schemas.openxmlformats.org/markup-compatibility/2006" xmlns:v="urn:schemas-microsoft-com:vml"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sdt>
            <w:sdtPr>
              <w15:appearance xmlns:w15="http://schemas.microsoft.com/office/word/2012/wordml" w15:val="show"/>
              <w:tag w:val="ClauseText@300001394242798"/>
              <w:id w:val="300001394242798"/>
              <w:placeholder>
                <w:docPart w:val="DefaultPlaceholder_22675703"/>
              </w:placeholder>
            </w:sdtPr>
            <w:sdtContent>
              <w:p>
                <w:pPr>
                  <w:jc w:val="center"/>
                </w:pPr>
                <w:r>
                  <w:rPr>
                    <!--Entering my-element step two template-->
                    <!--Entering my-element step three template-->
                    <w:rFonts w:ascii="" w:hAnsi=""/>
                    <w:sz w:val="15"/>
                    <w:szCs w:val="15"/>
                    <w:lang w:val="EN-US" w:fareast="EN-US" w:bidi="AR-SA"/>
                  </w:rPr>
                </w:r>
                <w:r>
                  <w:rPr>
                    <w:rFonts w:ascii="" w:hAnsi=""/>
                    <w:sz w:val="15"/>
                    <w:szCs w:val="15"/>
                    <w:lang w:val="EN-US" w:fareast="EN-US" w:bidi="AR-SA"/>
                    <w:b/>
                    <w:rFonts w:ascii="" w:hAnsi=""/>
                    <w:sz w:val="15"/>
                    <w:szCs w:val="15"/>
                    <w:lang w:val="EN-US" w:fareast="EN-US" w:bidi="AR-SA"/>
                  </w:rPr>
                  <w:t xml:space="preserve">Conditions Générales Standard du Bon de Commande – Marchandises</w:t>
                </w:r>
                <w:r>
                  <w:rPr>
                    <w:rFonts w:ascii="" w:hAnsi=""/>
                    <w:sz w:val="15"/>
                    <w:szCs w:val="15"/>
                    <w:lang w:val="EN-US" w:fareast="EN-US" w:bidi="AR-SA"/>
                  </w:rPr>
                </w:r>
              </w:p>
              <w:p>
                <w:pPr>
                  <w:jc w:val="both"/>
                </w:pPr>
                <w:r>
                  <w:rPr>
                    <!--Entering my-element step two template-->
                    <!--Entering my-element step three template-->
                    <w:rFonts w:ascii="" w:hAnsi=""/>
                    <w:sz w:val="15"/>
                    <w:szCs w:val="15"/>
                    <w:lang w:val="EN-US" w:fareast="EN-US" w:bidi="AR-SA"/>
                  </w:rPr>
                </w:r>
                <w:r>
                  <w:rPr>
                    <w:rFonts w:ascii="" w:hAnsi=""/>
                    <w:sz w:val="15"/>
                    <w:szCs w:val="15"/>
                    <w:lang w:val="EN-US" w:fareast="EN-US" w:bidi="AR-SA"/>
                    <w:b/>
                    <w:rFonts w:ascii="" w:hAnsi=""/>
                    <w:sz w:val="15"/>
                    <w:szCs w:val="15"/>
                    <w:lang w:val="EN-US" w:fareast="EN-US" w:bidi="AR-SA"/>
                  </w:rPr>
                  <w:t xml:space="preserve">1.      Accord</w:t>
                </w:r>
                <w:r>
                  <w:rPr>
                    <w:rFonts w:ascii="" w:hAnsi=""/>
                    <w:sz w:val="15"/>
                    <w:szCs w:val="15"/>
                    <w:lang w:val="EN-US" w:fareast="EN-US" w:bidi="AR-SA"/>
                  </w:rPr>
                </w:r>
              </w:p>
              <w:p>
                <w:pPr>
                  <w:jc w:val="both"/>
                  <w:ind w:left="600"/>
                </w:pPr>
                <w:r>
                  <w:rPr>
                    <!--Entering my-element step two template-->
                    <!--Entering my-element step three template-->
                    <w:rFonts w:ascii="" w:hAnsi=""/>
                    <w:sz w:val="15"/>
                    <w:szCs w:val="15"/>
                    <w:lang w:val="EN-US" w:fareast="EN-US" w:bidi="AR-SA"/>
                  </w:rPr>
                  <w:t xml:space="preserve">Le Fournisseur accepte de fournir les Marchandises et les Services connexes indiqués dans le Bon de Commande conformément aux Conditions Générales Standard et aux dispositions de toute annexe éventuelle. Les droits et obligations des Parties seront régis uniquement par le Bon de Commande, qui comprendra les présentes Conditions Générales Standard et toutes les annexes y afférentes (collectivement, « l’Accord »).</w:t>
                </w:r>
              </w:p>
              <w:p>
                <w:pPr>
                  <w:jc w:val="both"/>
                </w:pPr>
                <w:r>
                  <w:rPr>
                    <!--Entering my-element step two template-->
                    <!--Entering my-element step three template-->
                    <w:rFonts w:ascii="" w:hAnsi=""/>
                    <w:sz w:val="15"/>
                    <w:szCs w:val="15"/>
                    <w:lang w:val="EN-US" w:fareast="EN-US" w:bidi="AR-SA"/>
                  </w:rPr>
                </w:r>
                <w:r>
                  <w:rPr>
                    <w:rFonts w:ascii="" w:hAnsi=""/>
                    <w:sz w:val="15"/>
                    <w:szCs w:val="15"/>
                    <w:lang w:val="EN-US" w:fareast="EN-US" w:bidi="AR-SA"/>
                    <w:b/>
                    <w:rFonts w:ascii="" w:hAnsi=""/>
                    <w:sz w:val="15"/>
                    <w:szCs w:val="15"/>
                    <w:lang w:val="EN-US" w:fareast="EN-US" w:bidi="AR-SA"/>
                  </w:rPr>
                  <w:t xml:space="preserve">2.      Ordre de préséance</w:t>
                </w:r>
                <w:r>
                  <w:rPr>
                    <w:rFonts w:ascii="" w:hAnsi=""/>
                    <w:sz w:val="15"/>
                    <w:szCs w:val="15"/>
                    <w:lang w:val="EN-US" w:fareast="EN-US" w:bidi="AR-SA"/>
                  </w:rPr>
                </w:r>
              </w:p>
              <w:p>
                <w:pPr>
                  <w:jc w:val="both"/>
                  <w:ind w:left="600"/>
                </w:pPr>
                <w:r>
                  <w:rPr>
                    <!--Entering my-element step two template-->
                    <!--Entering my-element step three template-->
                    <w:rFonts w:ascii="" w:hAnsi=""/>
                    <w:sz w:val="15"/>
                    <w:szCs w:val="15"/>
                    <w:lang w:val="EN-US" w:fareast="EN-US" w:bidi="AR-SA"/>
                  </w:rPr>
                  <w:t xml:space="preserve">En cas de conflit entre les présentes Conditions Générales et toute condition particulière figurant dans le Bon de Commande (y compris toute modification ou différence convenue par rapport aux présentes conditions générales), c’est la condition particulière qui prévaudra, sauf indication contraire expresse dans le Bon de Commande. Aucune disposition supplémentaire ou contradictoire proposée par le Fournisseur ne sera opposable à l’OIM, sauf accord par écrit d’un représentant de l’OIM dûment autorisé.</w:t>
                </w:r>
              </w:p>
              <w:p>
                <w:pPr>
                  <w:jc w:val="both"/>
                </w:pPr>
                <w:r>
                  <w:rPr>
                    <!--Entering my-element step two template-->
                    <!--Entering my-element step three template-->
                    <w:rFonts w:ascii="" w:hAnsi=""/>
                    <w:sz w:val="15"/>
                    <w:szCs w:val="15"/>
                    <w:lang w:val="EN-US" w:fareast="EN-US" w:bidi="AR-SA"/>
                  </w:rPr>
                </w:r>
                <w:r>
                  <w:rPr>
                    <w:rFonts w:ascii="" w:hAnsi=""/>
                    <w:sz w:val="15"/>
                    <w:szCs w:val="15"/>
                    <w:lang w:val="EN-US" w:fareast="EN-US" w:bidi="AR-SA"/>
                    <w:b/>
                    <w:rFonts w:ascii="" w:hAnsi=""/>
                    <w:sz w:val="15"/>
                    <w:szCs w:val="15"/>
                    <w:lang w:val="EN-US" w:fareast="EN-US" w:bidi="AR-SA"/>
                  </w:rPr>
                  <w:t xml:space="preserve">3.      Paiement</w:t>
                </w:r>
                <w:r>
                  <w:rPr>
                    <w:rFonts w:ascii="" w:hAnsi=""/>
                    <w:sz w:val="15"/>
                    <w:szCs w:val="15"/>
                    <w:lang w:val="EN-US" w:fareast="EN-US" w:bidi="AR-SA"/>
                  </w:rPr>
                </w:r>
              </w:p>
              <w:p>
                <w:pPr>
                  <w:jc w:val="both"/>
                  <w:ind w:left="600"/>
                </w:pPr>
                <w:r>
                  <w:rPr>
                    <!--Entering my-element step two template-->
                    <!--Entering my-element step three template-->
                    <w:rFonts w:ascii="" w:hAnsi=""/>
                    <w:sz w:val="15"/>
                    <w:szCs w:val="15"/>
                    <w:lang w:val="EN-US" w:fareast="EN-US" w:bidi="AR-SA"/>
                  </w:rPr>
                  <w:t xml:space="preserve">3.1.    Le Fournisseur établira une facture au nom de l’OIM après la livraison des marchandises, et le paiement sera réalisé dans le délai indiqué dans la section « Modalités de paiement » du Bon de Commande, après réception de la facture, de la preuve d’expédition et de tout autre document prévu au titre du présent Accord, et après réception et approbation par l’OIM de la garantie bancaire et/ou de la garantie de bonne exécution, le cas échéant, conformément à l’article 5 du présent Accord. Le paiement sera exigible dans les 30 (trente) jours civils suivant l’acceptation de la marchandise par l’OIM.    </w:t>
                </w:r>
              </w:p>
              <w:p>
                <w:pPr>
                  <w:jc w:val="both"/>
                  <w:ind w:left="600"/>
                </w:pPr>
                <w:r>
                  <w:rPr>
                    <!--Entering my-element step two template-->
                    <!--Entering my-element step three template-->
                    <w:rFonts w:ascii="" w:hAnsi=""/>
                    <w:sz w:val="15"/>
                    <w:szCs w:val="15"/>
                    <w:lang w:val="EN-US" w:fareast="EN-US" w:bidi="AR-SA"/>
                  </w:rPr>
                  <w:t xml:space="preserve">3.2.    Le Fournisseur veillera à ce que les coordonnées bancaires fournies à l’OIM soient à jour, complètes et exactes. Des informations incorrectes ou obsolètes peuvent entraîner des retards dus aux démarches de vérification nécessaires, et l’OIM ne sera pas responsable des pertes, obligations, coûts ou dépenses auxquels le Fournisseur serait tenu de faire face du fait de ces retards ou de la fourniture d’informations incorrectes ou obsolètes. Si le Fournisseur souhaite que les virements soient effectués sur un autre compte bancaire que celui qu’il a communiqué par écrit à l’OIM ou que les coordonnées correspondantes venaient à être modifiées, il doit en informer l’Organisation par écrit dans les plus brefs délais.  </w:t>
                </w:r>
              </w:p>
              <w:p>
                <w:pPr>
                  <w:jc w:val="both"/>
                  <w:ind w:left="600"/>
                </w:pPr>
                <w:r>
                  <w:rPr>
                    <!--Entering my-element step two template-->
                    <!--Entering my-element step three template-->
                    <w:rFonts w:ascii="" w:hAnsi=""/>
                    <w:sz w:val="15"/>
                    <w:szCs w:val="15"/>
                    <w:lang w:val="EN-US" w:fareast="EN-US" w:bidi="AR-SA"/>
                  </w:rPr>
                  <w:t xml:space="preserve">3.3.    Le Fournisseur devra s’acquitter des impôts, taxes, droits et autres prélèvements établis à sa charge du fait du présent Accord.</w:t>
                </w:r>
              </w:p>
              <w:p>
                <w:pPr>
                  <w:jc w:val="both"/>
                  <w:ind w:left="600"/>
                </w:pPr>
                <w:r>
                  <w:rPr>
                    <!--Entering my-element step two template-->
                    <!--Entering my-element step three template-->
                    <w:rFonts w:ascii="" w:hAnsi=""/>
                    <w:sz w:val="15"/>
                    <w:szCs w:val="15"/>
                    <w:lang w:val="EN-US" w:fareast="EN-US" w:bidi="AR-SA"/>
                  </w:rPr>
                  <w:t xml:space="preserve">3.4.    Le Fournisseur certifie que, pour les transactions résultant du présent Accord, l’OIM ne sera pas facturée un montant plus élevé que d’autres clients pour des marchandises similaires, des quantités similaires et dans des circonstances similaires.</w:t>
                </w:r>
              </w:p>
              <w:p>
                <w:pPr>
                  <w:jc w:val="both"/>
                  <w:ind w:left="600"/>
                </w:pPr>
                <w:r>
                  <w:rPr>
                    <!--Entering my-element step two template-->
                    <!--Entering my-element step three template-->
                    <w:rFonts w:ascii="" w:hAnsi=""/>
                    <w:sz w:val="15"/>
                    <w:szCs w:val="15"/>
                    <w:lang w:val="EN-US" w:fareast="EN-US" w:bidi="AR-SA"/>
                  </w:rPr>
                  <w:t xml:space="preserve">3.5.    L’OIM pourra, sans préjudice d’aucun autre droit ou recours dont elle pourrait disposer, surseoir au paiement d’une partie ou de l’intégralité de la rémunération jusqu’à ce que le Fournisseur ait procédé, à la satisfaction de l’OIM, à la livraison des marchandises et à la fourniture des services pour lesquels ces paiements sont effectués.</w:t>
                </w:r>
              </w:p>
              <w:p>
                <w:pPr>
                  <w:jc w:val="both"/>
                </w:pPr>
                <w:r>
                  <w:rPr>
                    <!--Entering my-element step two template-->
                    <!--Entering my-element step three template-->
                    <w:rFonts w:ascii="" w:hAnsi=""/>
                    <w:sz w:val="15"/>
                    <w:szCs w:val="15"/>
                    <w:lang w:val="EN-US" w:fareast="EN-US" w:bidi="AR-SA"/>
                  </w:rPr>
                </w:r>
                <w:r>
                  <w:rPr>
                    <w:rFonts w:ascii="" w:hAnsi=""/>
                    <w:sz w:val="15"/>
                    <w:szCs w:val="15"/>
                    <w:lang w:val="EN-US" w:fareast="EN-US" w:bidi="AR-SA"/>
                    <w:b/>
                    <w:rFonts w:ascii="" w:hAnsi=""/>
                    <w:sz w:val="15"/>
                    <w:szCs w:val="15"/>
                    <w:lang w:val="EN-US" w:fareast="EN-US" w:bidi="AR-SA"/>
                  </w:rPr>
                  <w:t xml:space="preserve">4.      Livraison</w:t>
                </w:r>
                <w:r>
                  <w:rPr>
                    <w:rFonts w:ascii="" w:hAnsi=""/>
                    <w:sz w:val="15"/>
                    <w:szCs w:val="15"/>
                    <w:lang w:val="EN-US" w:fareast="EN-US" w:bidi="AR-SA"/>
                  </w:rPr>
                </w:r>
              </w:p>
              <w:p>
                <w:pPr>
                  <w:jc w:val="both"/>
                  <w:ind w:left="600"/>
                </w:pPr>
                <w:r>
                  <w:rPr>
                    <!--Entering my-element step two template-->
                    <!--Entering my-element step three template-->
                    <w:rFonts w:ascii="" w:hAnsi=""/>
                    <w:sz w:val="15"/>
                    <w:szCs w:val="15"/>
                    <w:lang w:val="EN-US" w:fareast="EN-US" w:bidi="AR-SA"/>
                  </w:rPr>
                  <w:t xml:space="preserve">4.1.    Le coût de la livraison est réputé compris dans le Prix indiqué dans le Bon de Commande. Les services indiqués dans le Bon de Commande seront exécutés sur le lieu de livraison et achevés à la date de livraison, sauf dispositions contraires énoncées dans le présent accord.</w:t>
                </w:r>
              </w:p>
              <w:p>
                <w:pPr>
                  <w:jc w:val="both"/>
                  <w:ind w:left="600"/>
                </w:pPr>
                <w:r>
                  <w:rPr>
                    <!--Entering my-element step two template-->
                    <!--Entering my-element step three template-->
                    <w:rFonts w:ascii="" w:hAnsi=""/>
                    <w:sz w:val="15"/>
                    <w:szCs w:val="15"/>
                    <w:lang w:val="EN-US" w:fareast="EN-US" w:bidi="AR-SA"/>
                  </w:rPr>
                  <w:t xml:space="preserve">4.2.    Le temps est un facteur essentiel dans l’exécution du présent Accord. Si le Fournisseur ne met pas à disposition ou ne fournit pas les marchandises ou services conformément au calendrier de livraison indiqué dans le présent Accord, ainsi que les documents d’expédition connexes (y compris, sans s’y limiter, les connaissements, les lettres de transport aérien et les factures commerciales) énoncés dans le présent Accord ou communément utilisés dans le commerce, l’OIM se réserve le droit :</w:t>
                </w:r>
              </w:p>
              <w:p>
                <w:pPr>
                  <w:jc w:val="both"/>
                  <w:ind w:left="1200"/>
                </w:pPr>
                <w:r>
                  <w:rPr>
                    <!--Entering my-element step two template-->
                    <!--Entering my-element step three template-->
                    <w:rFonts w:ascii="" w:hAnsi=""/>
                    <w:sz w:val="15"/>
                    <w:szCs w:val="15"/>
                    <w:lang w:val="EN-US" w:fareast="EN-US" w:bidi="AR-SA"/>
                  </w:rPr>
                  <w:t xml:space="preserve">a)       De résilier ou de suspendre le présent Accord sans que sa responsabilité soit engagée, en informant le Fournisseur sans délai et en lui facturant toute perte subie du fait de son incapacité à effectuer la livraison dans les délais convenus ; ou</w:t>
                </w:r>
              </w:p>
              <w:p>
                <w:pPr>
                  <w:jc w:val="both"/>
                  <w:ind w:left="1200"/>
                </w:pPr>
                <w:r>
                  <w:rPr>
                    <!--Entering my-element step two template-->
                    <!--Entering my-element step three template-->
                    <w:rFonts w:ascii="" w:hAnsi=""/>
                    <w:sz w:val="15"/>
                    <w:szCs w:val="15"/>
                    <w:lang w:val="EN-US" w:fareast="EN-US" w:bidi="AR-SA"/>
                  </w:rPr>
                  <w:t xml:space="preserve">b)       D’appliquer des dommages-intérêts d’un montant équivalent à 0,1 % (un dixième de un pour cent) des Frais de Services par jour de retard ou de non-respect du Calendrier de Livraison par le Fournisseur. L’OIM sera en droit de déduire le montant correspondant des éventuelles factures du Fournisseur en attente de paiement. De tels dommages-intérêts seront réclamés uniquement si le retard est causé par une défaillance du Fournisseur.  </w:t>
                </w:r>
              </w:p>
              <w:p>
                <w:pPr>
                  <w:jc w:val="both"/>
                  <w:ind w:left="1200"/>
                </w:pPr>
                <w:r>
                  <w:rPr>
                    <!--Entering my-element step two template-->
                    <!--Entering my-element step three template-->
                    <w:rFonts w:ascii="" w:hAnsi=""/>
                    <w:sz w:val="15"/>
                    <w:szCs w:val="15"/>
                    <w:lang w:val="EN-US" w:fareast="EN-US" w:bidi="AR-SA"/>
                  </w:rPr>
                  <w:t xml:space="preserve">L’acceptation des marchandises livrées en retard ne constitue pas renonciation par l’OIM de ses droits à engager la responsabilité du Fournisseur quant aux pertes et/ou dommages résultant dudit retard, et n’affecte en rien l’obligation de ce dernier de fournir d’autres marchandises conformément au présent Accord.  </w:t>
                </w:r>
              </w:p>
              <w:p>
                <w:pPr>
                  <w:jc w:val="both"/>
                </w:pPr>
                <w:r>
                  <w:rPr>
                    <!--Entering my-element step two template-->
                    <!--Entering my-element step three template-->
                    <w:rFonts w:ascii="" w:hAnsi=""/>
                    <w:sz w:val="15"/>
                    <w:szCs w:val="15"/>
                    <w:lang w:val="EN-US" w:fareast="EN-US" w:bidi="AR-SA"/>
                  </w:rPr>
                </w:r>
                <w:r>
                  <w:rPr>
                    <w:rFonts w:ascii="" w:hAnsi=""/>
                    <w:sz w:val="15"/>
                    <w:szCs w:val="15"/>
                    <w:lang w:val="EN-US" w:fareast="EN-US" w:bidi="AR-SA"/>
                    <w:b/>
                    <w:rFonts w:ascii="" w:hAnsi=""/>
                    <w:sz w:val="15"/>
                    <w:szCs w:val="15"/>
                    <w:lang w:val="EN-US" w:fareast="EN-US" w:bidi="AR-SA"/>
                  </w:rPr>
                  <w:t xml:space="preserve">5.      Garantie Bancaire pour Paiement Anticipé et Garantie de Bonne Exécution</w:t>
                </w:r>
                <w:r>
                  <w:rPr>
                    <w:rFonts w:ascii="" w:hAnsi=""/>
                    <w:sz w:val="15"/>
                    <w:szCs w:val="15"/>
                    <w:lang w:val="EN-US" w:fareast="EN-US" w:bidi="AR-SA"/>
                  </w:rPr>
                </w:r>
              </w:p>
              <w:p>
                <w:pPr>
                  <w:jc w:val="both"/>
                  <w:ind w:left="600"/>
                </w:pPr>
                <w:r>
                  <w:rPr>
                    <!--Entering my-element step two template-->
                    <!--Entering my-element step three template-->
                    <w:rFonts w:ascii="" w:hAnsi=""/>
                    <w:sz w:val="15"/>
                    <w:szCs w:val="15"/>
                    <w:lang w:val="EN-US" w:fareast="EN-US" w:bidi="AR-SA"/>
                  </w:rPr>
                  <w:t xml:space="preserve">5.1.    Garantie Bancaire pour Paiement Anticipé (LE CAS ÉCHÉANT)</w:t>
                </w:r>
              </w:p>
              <w:p>
                <w:pPr>
                  <w:jc w:val="both"/>
                  <w:ind w:left="1200"/>
                </w:pPr>
                <w:r>
                  <w:rPr>
                    <!--Entering my-element step two template-->
                    <!--Entering my-element step three template-->
                    <w:rFonts w:ascii="" w:hAnsi=""/>
                    <w:sz w:val="15"/>
                    <w:szCs w:val="15"/>
                    <w:lang w:val="EN-US" w:fareast="EN-US" w:bidi="AR-SA"/>
                  </w:rPr>
                  <w:t xml:space="preserve">Le Fournisseur remettra à l’OIM une garantie bancaire d’un montant équivalent au montant total avancé, tel qu’indiqué dans le Bon de Commande, afin de garantir le paiement anticipé demandé (la « Garantie Bancaire »). Cette garantie sera émise par une banque ou une entité financière de renom agréée par l’OIM, sur la base du modèle joint au présent Accord, ou conformément à tout autre accord écrit de l’OIM. La Garantie Bancaire sera effective jusqu’à la date d’achèvement des services, après quoi l’OIM donnera sa mainlevée. L’OIM ne sera pas tenue d’effectuer un quelconque paiement tant qu’elle n’aura pas reçu et approuvé la Garantie Bancaire.</w:t>
                </w:r>
              </w:p>
              <w:p>
                <w:pPr>
                  <w:jc w:val="both"/>
                  <w:ind w:left="600"/>
                </w:pPr>
                <w:r>
                  <w:rPr>
                    <!--Entering my-element step two template-->
                    <!--Entering my-element step three template-->
                    <w:rFonts w:ascii="" w:hAnsi=""/>
                    <w:sz w:val="15"/>
                    <w:szCs w:val="15"/>
                    <w:lang w:val="EN-US" w:fareast="EN-US" w:bidi="AR-SA"/>
                  </w:rPr>
                  <w:t xml:space="preserve">5.2.    Garantie de Bonne Exécution (LE CAS ÉCHÉANT)</w:t>
                </w:r>
              </w:p>
              <w:p>
                <w:pPr>
                  <w:jc w:val="both"/>
                  <w:ind w:left="1200"/>
                </w:pPr>
                <w:r>
                  <w:rPr>
                    <!--Entering my-element step two template-->
                    <!--Entering my-element step three template-->
                    <w:rFonts w:ascii="" w:hAnsi=""/>
                    <w:sz w:val="15"/>
                    <w:szCs w:val="15"/>
                    <w:lang w:val="EN-US" w:fareast="EN-US" w:bidi="AR-SA"/>
                  </w:rPr>
                  <w:t xml:space="preserve">5.2.1.     Le Fournisseur remettra à l’OIM une garantie de bonne exécution d’un montant équivalent à 10 % (dix pour cent) des Frais de   Services qui sera émise par une banque ou une société de cautionnement de renom sous une forme acceptable pour l’OIM (la « Garantie de Bonne Exécution »).</w:t>
                </w:r>
              </w:p>
              <w:p>
                <w:pPr>
                  <w:jc w:val="both"/>
                  <w:ind w:left="1200"/>
                </w:pPr>
                <w:r>
                  <w:rPr>
                    <!--Entering my-element step two template-->
                    <!--Entering my-element step three template-->
                    <w:rFonts w:ascii="" w:hAnsi=""/>
                    <w:sz w:val="15"/>
                    <w:szCs w:val="15"/>
                    <w:lang w:val="EN-US" w:fareast="EN-US" w:bidi="AR-SA"/>
                  </w:rPr>
                  <w:t xml:space="preserve">5.2.2.     La Garantie de Bonne Exécution servira de cautionnement pour l’exécution satisfaisante et le strict respect par le Fournisseur des Conditions Générales du présent Accord. Son montant ne sera en aucun cas interprété comme constituant la limite de la responsabilité du Fournisseur envers l’OIM. La Garantie de Bonne Exécution prendra effet à compter de la date de début de la Fourniture des Services et s’appliquera jusqu’au trentième jour suivant la date d’exécution des obligations incombant au Fournisseur, après quoi l’OIM donnera sa mainlevée.</w:t>
                </w:r>
              </w:p>
              <w:p>
                <w:pPr>
                  <w:jc w:val="both"/>
                </w:pPr>
                <w:r>
                  <w:rPr>
                    <!--Entering my-element step two template-->
                    <!--Entering my-element step three template-->
                    <w:rFonts w:ascii="" w:hAnsi=""/>
                    <w:sz w:val="15"/>
                    <w:szCs w:val="15"/>
                    <w:lang w:val="EN-US" w:fareast="EN-US" w:bidi="AR-SA"/>
                  </w:rPr>
                </w:r>
                <w:r>
                  <w:rPr>
                    <w:rFonts w:ascii="" w:hAnsi=""/>
                    <w:sz w:val="15"/>
                    <w:szCs w:val="15"/>
                    <w:lang w:val="EN-US" w:fareast="EN-US" w:bidi="AR-SA"/>
                    <w:b/>
                    <w:rFonts w:ascii="" w:hAnsi=""/>
                    <w:sz w:val="15"/>
                    <w:szCs w:val="15"/>
                    <w:lang w:val="EN-US" w:fareast="EN-US" w:bidi="AR-SA"/>
                  </w:rPr>
                  <w:t xml:space="preserve">6.      Inspection et acceptation</w:t>
                </w:r>
                <w:r>
                  <w:rPr>
                    <w:rFonts w:ascii="" w:hAnsi=""/>
                    <w:sz w:val="15"/>
                    <w:szCs w:val="15"/>
                    <w:lang w:val="EN-US" w:fareast="EN-US" w:bidi="AR-SA"/>
                  </w:rPr>
                </w:r>
              </w:p>
              <w:p>
                <w:pPr>
                  <w:jc w:val="both"/>
                  <w:ind w:left="600"/>
                </w:pPr>
                <w:r>
                  <w:rPr>
                    <!--Entering my-element step two template-->
                    <!--Entering my-element step three template-->
                    <w:rFonts w:ascii="" w:hAnsi=""/>
                    <w:sz w:val="15"/>
                    <w:szCs w:val="15"/>
                    <w:lang w:val="EN-US" w:fareast="EN-US" w:bidi="AR-SA"/>
                  </w:rPr>
                  <w:t xml:space="preserve">6.1.    Si des spécifications techniques jointes en annexe précisent les inspections et les vérifications nécessaires, ainsi que les lieux où elles seront effectuées, les dispositions correspondantes prévaudront en cas de divergence avec la présente clause.</w:t>
                </w:r>
              </w:p>
              <w:p>
                <w:pPr>
                  <w:jc w:val="both"/>
                  <w:ind w:left="600"/>
                </w:pPr>
                <w:r>
                  <w:rPr>
                    <!--Entering my-element step two template-->
                    <!--Entering my-element step three template-->
                    <w:rFonts w:ascii="" w:hAnsi=""/>
                    <w:sz w:val="15"/>
                    <w:szCs w:val="15"/>
                    <w:lang w:val="EN-US" w:fareast="EN-US" w:bidi="AR-SA"/>
                  </w:rPr>
                  <w:t xml:space="preserve">6.2.    L’OIM, ou son représentant, sera autorisée à inspecter et/ou à vérifier les marchandises, sans frais supplémentaires pour elle, dans les locaux du Fournisseur ou sur le lieu de livraison ou de destination finale. Le Fournisseur facilitera ces inspections et apportera toute l’aide nécessaire.  </w:t>
                </w:r>
              </w:p>
              <w:p>
                <w:pPr>
                  <w:jc w:val="both"/>
                  <w:ind w:left="600"/>
                </w:pPr>
                <w:r>
                  <w:rPr>
                    <!--Entering my-element step two template-->
                    <!--Entering my-element step three template-->
                    <w:rFonts w:ascii="" w:hAnsi=""/>
                    <w:sz w:val="15"/>
                    <w:szCs w:val="15"/>
                    <w:lang w:val="EN-US" w:fareast="EN-US" w:bidi="AR-SA"/>
                  </w:rPr>
                  <w:t xml:space="preserve">6.3.     L’OIM disposera de 30 (trente) jours civils à compter de la réception des Marchandises pour les inspecter et les accepter, ou les refuser pour non-conformité avec les dispositions du présent Accord. L’OIM pourra refuser l’ensemble de la livraison après en avoir inspecté un échantillon représentatif. Elle pourra aussi facturer au Fournisseur le coût de l’inspection des Marchandises refusées. Le droit de l’OIM de refuser les Marchandises ne saurait être limité ou levé au motif qu’elle les avait inspectées ou vérifiées avant la livraison. À la demande de l’OIM, le Fournisseur remplacera tout ou partie des Marchandises refusées à ses frais (frais de transport compris), ou remboursera intégralement à l’OIM le montant payé (frais de transport compris) pour les Marchandises refusées. L’OIM pourra renvoyer au Fournisseur les Marchandises refusées (les frais de transport sont alors à la charge du Fournisseur) ou conserver celles-ci en vue de leur élimination aux risques et aux frais du Fournisseur.</w:t>
                </w:r>
              </w:p>
              <w:p>
                <w:pPr>
                  <w:jc w:val="both"/>
                  <w:ind w:left="600"/>
                </w:pPr>
                <w:r>
                  <w:rPr>
                    <!--Entering my-element step two template-->
                    <!--Entering my-element step three template-->
                    <w:rFonts w:ascii="" w:hAnsi=""/>
                    <w:sz w:val="15"/>
                    <w:szCs w:val="15"/>
                    <w:lang w:val="EN-US" w:fareast="EN-US" w:bidi="AR-SA"/>
                  </w:rPr>
                  <w:t xml:space="preserve">6.4.      Le Fournisseur reconnaît que le paiement effectué par l’OIM au titre du présent Accord ne vaut pas acceptation des Marchandises livrées.  </w:t>
                </w:r>
              </w:p>
              <w:p>
                <w:pPr>
                  <w:jc w:val="both"/>
                  <w:ind w:left="600"/>
                </w:pPr>
                <w:r>
                  <w:rPr>
                    <!--Entering my-element step two template-->
                    <!--Entering my-element step three template-->
                    <w:rFonts w:ascii="" w:hAnsi=""/>
                    <w:sz w:val="15"/>
                    <w:szCs w:val="15"/>
                    <w:lang w:val="EN-US" w:fareast="EN-US" w:bidi="AR-SA"/>
                  </w:rPr>
                  <w:t xml:space="preserve">6.5.      Le Fournisseur reconnaît que l’acceptation des Marchandises et des services par l’OIM ne l’exempte d’aucune garantie ni des autres obligations découlant du présent Accord.</w:t>
                </w:r>
              </w:p>
              <w:p>
                <w:pPr>
                  <w:jc w:val="both"/>
                  <w:ind w:left="600"/>
                </w:pPr>
                <w:r>
                  <w:rPr>
                    <!--Entering my-element step two template-->
                    <!--Entering my-element step three template-->
                    <w:rFonts w:ascii="" w:hAnsi=""/>
                    <w:sz w:val="15"/>
                    <w:szCs w:val="15"/>
                    <w:lang w:val="EN-US" w:fareast="EN-US" w:bidi="AR-SA"/>
                  </w:rPr>
                  <w:t xml:space="preserve">6.6.     Le droit de propriété des Marchandises passera à l’OIM au moment de la livraison et de l’acceptation des Marchandises par l’OIM. Conformément aux règles Incoterm® (2020) jointes au document de commande, le risque de perte, de dommage ou de destruction des Marchandises sera assumé par le Fournisseur. En l’absence des règles Incoterm® (2020) dans le Bon de Commande, le risque précité sera transféré à l’OIM en même temps que le droit de propriété des Marchandises.</w:t>
                </w:r>
              </w:p>
              <w:p>
                <w:pPr>
                  <w:jc w:val="both"/>
                </w:pPr>
                <w:r>
                  <w:rPr>
                    <!--Entering my-element step two template-->
                    <!--Entering my-element step three template-->
                    <w:rFonts w:ascii="" w:hAnsi=""/>
                    <w:sz w:val="15"/>
                    <w:szCs w:val="15"/>
                    <w:lang w:val="EN-US" w:fareast="EN-US" w:bidi="AR-SA"/>
                  </w:rPr>
                </w:r>
                <w:r>
                  <w:rPr>
                    <w:rFonts w:ascii="" w:hAnsi=""/>
                    <w:sz w:val="15"/>
                    <w:szCs w:val="15"/>
                    <w:lang w:val="EN-US" w:fareast="EN-US" w:bidi="AR-SA"/>
                    <w:b/>
                    <w:rFonts w:ascii="" w:hAnsi=""/>
                    <w:sz w:val="15"/>
                    <w:szCs w:val="15"/>
                    <w:lang w:val="EN-US" w:fareast="EN-US" w:bidi="AR-SA"/>
                  </w:rPr>
                  <w:t xml:space="preserve">7.       Ajustements</w:t>
                </w:r>
                <w:r>
                  <w:rPr>
                    <w:rFonts w:ascii="" w:hAnsi=""/>
                    <w:sz w:val="15"/>
                    <w:szCs w:val="15"/>
                    <w:lang w:val="EN-US" w:fareast="EN-US" w:bidi="AR-SA"/>
                  </w:rPr>
                </w:r>
              </w:p>
              <w:p>
                <w:pPr>
                  <w:jc w:val="both"/>
                  <w:ind w:left="600"/>
                </w:pPr>
                <w:r>
                  <w:rPr>
                    <!--Entering my-element step two template-->
                    <!--Entering my-element step three template-->
                    <w:rFonts w:ascii="" w:hAnsi=""/>
                    <w:sz w:val="15"/>
                    <w:szCs w:val="15"/>
                    <w:lang w:val="EN-US" w:fareast="EN-US" w:bidi="AR-SA"/>
                  </w:rPr>
                  <w:t xml:space="preserve">7.1.      L’OIM se réserve le droit de modifier à tout moment les quantités, l’emballage, la taille unitaire, le lieu, le mode et/ou la date de livraison  ou les Services à fournir. Dans le cas de Marchandises produites spécialement pour l’OIM, celle-ci pourra également apporter des modifications aux dessins, modèles ou caractéristiques.</w:t>
                </w:r>
              </w:p>
              <w:p>
                <w:pPr>
                  <w:jc w:val="both"/>
                  <w:ind w:left="600"/>
                </w:pPr>
                <w:r>
                  <w:rPr>
                    <!--Entering my-element step two template-->
                    <!--Entering my-element step three template-->
                    <w:rFonts w:ascii="" w:hAnsi=""/>
                    <w:sz w:val="15"/>
                    <w:szCs w:val="15"/>
                    <w:lang w:val="EN-US" w:fareast="EN-US" w:bidi="AR-SA"/>
                  </w:rPr>
                  <w:t xml:space="preserve">7.2.      Le Fournisseur accepte d’exécuter le présent Accord conformément à la ou aux modifications ainsi apportées, et de présenter une demande d’ajustement équitable du Prix ou des conditions de livraison sur la base de cette ou ces modifications.</w:t>
                </w:r>
              </w:p>
              <w:p>
                <w:pPr>
                  <w:jc w:val="both"/>
                  <w:ind w:left="600"/>
                </w:pPr>
                <w:r>
                  <w:rPr>
                    <!--Entering my-element step two template-->
                    <!--Entering my-element step three template-->
                    <w:rFonts w:ascii="" w:hAnsi=""/>
                    <w:sz w:val="15"/>
                    <w:szCs w:val="15"/>
                    <w:lang w:val="EN-US" w:fareast="EN-US" w:bidi="AR-SA"/>
                  </w:rPr>
                  <w:t xml:space="preserve">7.3.       L’OIM pourra considérer que le Fournisseur a renoncé à toute demande d’ajustement équitable au titre du présent Article si celle-ci n’est pas faite par écrit dans les 10 (dix) jours suivant la date à laquelle il a reçu la ou les modifications.  </w:t>
                </w:r>
              </w:p>
              <w:p>
                <w:pPr>
                  <w:jc w:val="both"/>
                  <w:ind w:left="600"/>
                </w:pPr>
                <w:r>
                  <w:rPr>
                    <!--Entering my-element step two template-->
                    <!--Entering my-element step three template-->
                    <w:rFonts w:ascii="" w:hAnsi=""/>
                    <w:sz w:val="15"/>
                    <w:szCs w:val="15"/>
                    <w:lang w:val="EN-US" w:fareast="EN-US" w:bidi="AR-SA"/>
                  </w:rPr>
                  <w:t xml:space="preserve">7.4.       Toute correction, modification ou révision du présent Accord devra, pour être valable, être faite par écrit et signée par une personne habilitée à représenter l’OIM.</w:t>
                </w:r>
              </w:p>
              <w:p>
                <w:pPr>
                  <w:jc w:val="both"/>
                </w:pPr>
                <w:r>
                  <w:rPr>
                    <!--Entering my-element step two template-->
                    <!--Entering my-element step three template-->
                    <w:rFonts w:ascii="" w:hAnsi=""/>
                    <w:sz w:val="15"/>
                    <w:szCs w:val="15"/>
                    <w:lang w:val="EN-US" w:fareast="EN-US" w:bidi="AR-SA"/>
                  </w:rPr>
                </w:r>
                <w:r>
                  <w:rPr>
                    <w:rFonts w:ascii="" w:hAnsi=""/>
                    <w:sz w:val="15"/>
                    <w:szCs w:val="15"/>
                    <w:lang w:val="EN-US" w:fareast="EN-US" w:bidi="AR-SA"/>
                    <w:b/>
                    <w:rFonts w:ascii="" w:hAnsi=""/>
                    <w:sz w:val="15"/>
                    <w:szCs w:val="15"/>
                    <w:lang w:val="EN-US" w:fareast="EN-US" w:bidi="AR-SA"/>
                  </w:rPr>
                  <w:t xml:space="preserve">8.        Emballage</w:t>
                </w:r>
                <w:r>
                  <w:rPr>
                    <w:rFonts w:ascii="" w:hAnsi=""/>
                    <w:sz w:val="15"/>
                    <w:szCs w:val="15"/>
                    <w:lang w:val="EN-US" w:fareast="EN-US" w:bidi="AR-SA"/>
                  </w:rPr>
                </w:r>
              </w:p>
              <w:p>
                <w:pPr>
                  <w:jc w:val="both"/>
                  <w:ind w:left="600"/>
                </w:pPr>
                <w:r>
                  <w:rPr>
                    <!--Entering my-element step two template-->
                    <!--Entering my-element step three template-->
                    <w:rFonts w:ascii="" w:hAnsi=""/>
                    <w:sz w:val="15"/>
                    <w:szCs w:val="15"/>
                    <w:lang w:val="EN-US" w:fareast="EN-US" w:bidi="AR-SA"/>
                  </w:rPr>
                  <w:t xml:space="preserve">8.1.       Le Fournisseur doit fournir un emballage approprié conformément aux pratiques commerciales exemplaires, de façon que les Marchandises soient livrées intactes à l’OIM. L’emballage doit résister à une manutention brutale pendant le transport, à l’exposition à des températures extrêmes, au sel et aux précipitations pendant le transport et l’entreposage en plein air, et être adapté au type de marchandises et au mode de transport. L’OIM se réserve le droit de refuser toute livraison qui, selon elle, n’a pas été correctement emballée.  </w:t>
                </w:r>
              </w:p>
              <w:p>
                <w:pPr>
                  <w:jc w:val="both"/>
                  <w:ind w:left="600"/>
                </w:pPr>
                <w:r>
                  <w:rPr>
                    <!--Entering my-element step two template-->
                    <!--Entering my-element step three template-->
                    <w:rFonts w:ascii="" w:hAnsi=""/>
                    <w:sz w:val="15"/>
                    <w:szCs w:val="15"/>
                    <w:lang w:val="EN-US" w:fareast="EN-US" w:bidi="AR-SA"/>
                  </w:rPr>
                  <w:t xml:space="preserve">8.2.        L’emballage, le marquage et la documentation doivent être conformes aux prescriptions ou instructions données par l’OIM.</w:t>
                </w:r>
              </w:p>
              <w:p>
                <w:pPr>
                  <w:jc w:val="both"/>
                </w:pPr>
                <w:r>
                  <w:rPr>
                    <!--Entering my-element step two template-->
                    <!--Entering my-element step three template-->
                    <w:rFonts w:ascii="" w:hAnsi=""/>
                    <w:sz w:val="15"/>
                    <w:szCs w:val="15"/>
                    <w:lang w:val="EN-US" w:fareast="EN-US" w:bidi="AR-SA"/>
                  </w:rPr>
                </w:r>
                <w:r>
                  <w:rPr>
                    <w:rFonts w:ascii="" w:hAnsi=""/>
                    <w:sz w:val="15"/>
                    <w:szCs w:val="15"/>
                    <w:lang w:val="EN-US" w:fareast="EN-US" w:bidi="AR-SA"/>
                    <w:b/>
                    <w:rFonts w:ascii="" w:hAnsi=""/>
                    <w:sz w:val="15"/>
                    <w:szCs w:val="15"/>
                    <w:lang w:val="EN-US" w:fareast="EN-US" w:bidi="AR-SA"/>
                  </w:rPr>
                  <w:t xml:space="preserve">9.     Garanties</w:t>
                </w:r>
                <w:r>
                  <w:rPr>
                    <w:rFonts w:ascii="" w:hAnsi=""/>
                    <w:sz w:val="15"/>
                    <w:szCs w:val="15"/>
                    <w:lang w:val="EN-US" w:fareast="EN-US" w:bidi="AR-SA"/>
                  </w:rPr>
                </w:r>
              </w:p>
              <w:p>
                <w:pPr>
                  <w:jc w:val="both"/>
                  <w:ind w:left="600"/>
                </w:pPr>
                <w:r>
                  <w:rPr>
                    <!--Entering my-element step two template-->
                    <!--Entering my-element step three template-->
                    <w:rFonts w:ascii="" w:hAnsi=""/>
                    <w:sz w:val="15"/>
                    <w:szCs w:val="15"/>
                    <w:lang w:val="EN-US" w:fareast="EN-US" w:bidi="AR-SA"/>
                  </w:rPr>
                  <w:t xml:space="preserve">9.1.       Le Fournisseur garantit qu’aucune des Marchandises fournies au titre du présent Accord ne présente de défauts dus à la conception, aux matériaux utilisés ou à la qualité du travail, ou encore à un acte ou une omission de la part du Fournisseur, qui pourraient apparaître lors d’une utilisation normale dans les conditions qui prévalent dans le pays de destination finale.</w:t>
                </w:r>
              </w:p>
              <w:p>
                <w:pPr>
                  <w:jc w:val="both"/>
                  <w:ind w:left="600"/>
                </w:pPr>
                <w:r>
                  <w:rPr>
                    <!--Entering my-element step two template-->
                    <!--Entering my-element step three template-->
                    <w:rFonts w:ascii="" w:hAnsi=""/>
                    <w:sz w:val="15"/>
                    <w:szCs w:val="15"/>
                    <w:lang w:val="EN-US" w:fareast="EN-US" w:bidi="AR-SA"/>
                  </w:rPr>
                  <w:t xml:space="preserve">9.2.      Le Fournisseur garantit que toutes les Marchandises fournies au titre du présent Accord sont neuves et n’ont jamais été utilisées, qu’elles correspondent aux modèles les plus récents ou à des modèles actuels, et qu’ils bénéficient des dernières améliorations en matière de conception et de matériaux utilisés, sauf indication contraire dans le présent Accord. Les Marchandises et Services fournis au titre du présent Accord seront tous conformes aux caractéristiques, dessins, échantillons ou autres descriptions fournis ou indiqués par l’OIM et qu’ils ne présentent aucun défaut dû aux matériaux utilisés ou à la qualité du travail. Cette garantie continuera de s’appliquer 12 (douze) mois après la livraison des marchandises et l’acceptation de celles-ci sur le lieu de destination finale. L’utilisation, par l’OIM, de marchandises défectueuses après notification au Fournisseur de leur défaut ou de leur non-conformité, ne dispensera pas le Fournisseur des obligations qui lui incombent au titre de ladite garantie.</w:t>
                </w:r>
              </w:p>
              <w:p>
                <w:pPr>
                  <w:jc w:val="both"/>
                  <w:ind w:left="600"/>
                </w:pPr>
                <w:r>
                  <w:rPr>
                    <!--Entering my-element step two template-->
                    <!--Entering my-element step three template-->
                    <w:rFonts w:ascii="" w:hAnsi=""/>
                    <w:sz w:val="15"/>
                    <w:szCs w:val="15"/>
                    <w:lang w:val="EN-US" w:fareast="EN-US" w:bidi="AR-SA"/>
                  </w:rPr>
                  <w:t xml:space="preserve">9.3.     L’OIM avisera le Fournisseur sans délai et par écrit de toute réclamation au titre de toute garantie énoncée à l’article 9.1 ou 9.2 du présent Accord. À réception de cet avis, le Fournisseur réparera ou remplacera les marchandises défectueuses ou leurs parties défectueuses, sans frais pour l’OIM, dans les délais indiqués dans l’avis. L’utilisation, par l’OIM, des marchandises défectueuses après notification au Fournisseur de leur défaut ou de leur non-conformité ou encore d’une rupture de la garantie, ne dispensera pas le Fournisseur des obligations qui lui incombent au titre de ladite garantie.</w:t>
                </w:r>
              </w:p>
              <w:p>
                <w:pPr>
                  <w:jc w:val="both"/>
                  <w:ind w:left="600"/>
                </w:pPr>
                <w:r>
                  <w:rPr>
                    <!--Entering my-element step two template-->
                    <!--Entering my-element step three template-->
                    <w:rFonts w:ascii="" w:hAnsi=""/>
                    <w:sz w:val="15"/>
                    <w:szCs w:val="15"/>
                    <w:lang w:val="EN-US" w:fareast="EN-US" w:bidi="AR-SA"/>
                  </w:rPr>
                  <w:t xml:space="preserve">9.4.      Le Fournisseur déclare et garantit en outre :</w:t>
                </w:r>
              </w:p>
              <w:p>
                <w:pPr>
                  <w:jc w:val="both"/>
                  <w:ind w:left="1200"/>
                </w:pPr>
                <w:r>
                  <w:rPr>
                    <!--Entering my-element step two template-->
                    <!--Entering my-element step three template-->
                    <w:rFonts w:ascii="" w:hAnsi=""/>
                    <w:sz w:val="15"/>
                    <w:szCs w:val="15"/>
                    <w:lang w:val="EN-US" w:fareast="EN-US" w:bidi="AR-SA"/>
                  </w:rPr>
                  <w:t xml:space="preserve">a)     Qu’il possède le plein droit de propriété des Marchandises, qu’il est pleinement qualifié pour vendre lesdites Marchandises à l’OIM, et qu’il est une entreprise financièrement saine et dûment enregistrée, disposant de ressources humaines appropriées, ainsi que de l’équipement, des compétences, du savoir-faire et des qualifications requis pour assurer intégralement et de manière satisfaisante, dans les délais impartis, la livraison des Marchandises conformément au présent Accord;  </w:t>
                </w:r>
              </w:p>
              <w:p>
                <w:pPr>
                  <w:jc w:val="both"/>
                  <w:ind w:left="1200"/>
                </w:pPr>
                <w:r>
                  <w:rPr>
                    <!--Entering my-element step two template-->
                    <!--Entering my-element step three template-->
                    <w:rFonts w:ascii="" w:hAnsi=""/>
                    <w:sz w:val="15"/>
                    <w:szCs w:val="15"/>
                    <w:lang w:val="EN-US" w:fareast="EN-US" w:bidi="AR-SA"/>
                  </w:rPr>
                  <w:t xml:space="preserve">b)     Qu’il se conformera à toutes les lois, ordonnances, règles et réglementations applicables dans l’exécution des obligations qui lui incombent au titre du présent Accord;</w:t>
                </w:r>
              </w:p>
              <w:p>
                <w:pPr>
                  <w:jc w:val="both"/>
                  <w:ind w:left="1200"/>
                </w:pPr>
                <w:r>
                  <w:rPr>
                    <!--Entering my-element step two template-->
                    <!--Entering my-element step three template-->
                    <w:rFonts w:ascii="" w:hAnsi=""/>
                    <w:sz w:val="15"/>
                    <w:szCs w:val="15"/>
                    <w:lang w:val="EN-US" w:fareast="EN-US" w:bidi="AR-SA"/>
                  </w:rPr>
                  <w:t xml:space="preserve">c)     Qu’en toutes circonstances, il agira dans l’intérêt de l’OIM;  </w:t>
                </w:r>
              </w:p>
              <w:p>
                <w:pPr>
                  <w:jc w:val="both"/>
                  <w:ind w:left="1200"/>
                </w:pPr>
                <w:r>
                  <w:rPr>
                    <!--Entering my-element step two template-->
                    <!--Entering my-element step three template-->
                    <w:rFonts w:ascii="" w:hAnsi=""/>
                    <w:sz w:val="15"/>
                    <w:szCs w:val="15"/>
                    <w:lang w:val="EN-US" w:fareast="EN-US" w:bidi="AR-SA"/>
                  </w:rPr>
                  <w:t xml:space="preserve">d)     Qu’aucun fonctionnaire, employé ou agent de l’OIM ni aucun tiers n’a reçu, ne se verra offrir ni ne recevra de sa part un quelconque avantage direct ou indirect découlant de l’accord ou de son adjudication;</w:t>
                </w:r>
              </w:p>
              <w:p>
                <w:pPr>
                  <w:jc w:val="both"/>
                  <w:ind w:left="1200"/>
                </w:pPr>
                <w:r>
                  <w:rPr>
                    <!--Entering my-element step two template-->
                    <!--Entering my-element step three template-->
                    <w:rFonts w:ascii="" w:hAnsi=""/>
                    <w:sz w:val="15"/>
                    <w:szCs w:val="15"/>
                    <w:lang w:val="EN-US" w:fareast="EN-US" w:bidi="AR-SA"/>
                  </w:rPr>
                  <w:t xml:space="preserve">e)     Qu’il n’a pas dénaturé ni dissimulé de faits importants pour l’obtention du présent Accord;</w:t>
                </w:r>
              </w:p>
              <w:p>
                <w:pPr>
                  <w:jc w:val="both"/>
                  <w:ind w:left="1200"/>
                </w:pPr>
                <w:r>
                  <w:rPr>
                    <!--Entering my-element step two template-->
                    <!--Entering my-element step three template-->
                    <w:rFonts w:ascii="" w:hAnsi=""/>
                    <w:sz w:val="15"/>
                    <w:szCs w:val="15"/>
                    <w:lang w:val="EN-US" w:fareast="EN-US" w:bidi="AR-SA"/>
                  </w:rPr>
                  <w:t xml:space="preserve">f)      Que lui-même, son personnel ou ses actionnaires n’ont pas été déclarés, par le passé, inéligibles à l’attribution de contrats par l’OIM;</w:t>
                </w:r>
              </w:p>
              <w:p>
                <w:pPr>
                  <w:jc w:val="both"/>
                  <w:ind w:left="1200"/>
                </w:pPr>
                <w:r>
                  <w:rPr>
                    <!--Entering my-element step two template-->
                    <!--Entering my-element step three template-->
                    <w:rFonts w:ascii="" w:hAnsi=""/>
                    <w:sz w:val="15"/>
                    <w:szCs w:val="15"/>
                    <w:lang w:val="EN-US" w:fareast="EN-US" w:bidi="AR-SA"/>
                  </w:rPr>
                  <w:t xml:space="preserve">g)    Qu’il appliquera des mesures de protection organisationnelles, administratives, physiques et techniques raisonnables et appropriées pour assurer l’intégrité et la confidentialité des informations échangées dans le cadre du présent Accord. Ces mesures seront conçues pour se prémunir contre toute menace ou tout risque prévisible pour la sécurité et l’intégrité de ces informations ainsi que contre toute démarche non autorisée visant à accéder à celles-ci, à les utiliser ou à les diffuser. Si l’OIM en fait la demande à tout moment pendant la durée d’application du présent accord, le Fournisseur lui remettra des copies de ses politiques, protocoles, registres et autres documents relatifs à la mise en œuvre de ces mesures de protection;</w:t>
                </w:r>
              </w:p>
              <w:p>
                <w:pPr>
                  <w:jc w:val="both"/>
                  <w:ind w:left="1200"/>
                </w:pPr>
                <w:r>
                  <w:rPr>
                    <!--Entering my-element step two template-->
                    <!--Entering my-element step three template-->
                    <w:rFonts w:ascii="" w:hAnsi=""/>
                    <w:sz w:val="15"/>
                    <w:szCs w:val="15"/>
                    <w:lang w:val="EN-US" w:fareast="EN-US" w:bidi="AR-SA"/>
                  </w:rPr>
                  <w:t xml:space="preserve">h)     Qu’il a souscrit ou souscrira une police d’assurance appropriée qui le couvre ou le couvrira durant la période de fourniture des marchandises visées par le présent Accord;</w:t>
                </w:r>
              </w:p>
              <w:p>
                <w:pPr>
                  <w:jc w:val="both"/>
                  <w:ind w:left="1200"/>
                </w:pPr>
                <w:r>
                  <w:rPr>
                    <!--Entering my-element step two template-->
                    <!--Entering my-element step three template-->
                    <w:rFonts w:ascii="" w:hAnsi=""/>
                    <w:sz w:val="15"/>
                    <w:szCs w:val="15"/>
                    <w:lang w:val="EN-US" w:fareast="EN-US" w:bidi="AR-SA"/>
                  </w:rPr>
                  <w:t xml:space="preserve">i)      Que le Prix des Marchandises visées par le présent Accord ne sera pas supérieur à celui offert à d’autres clients du Fournisseur pour des Marchandises similaires ;</w:t>
                </w:r>
              </w:p>
              <w:p>
                <w:pPr>
                  <w:jc w:val="both"/>
                  <w:ind w:left="1200"/>
                </w:pPr>
                <w:r>
                  <w:rPr>
                    <!--Entering my-element step two template-->
                    <!--Entering my-element step three template-->
                    <w:rFonts w:ascii="" w:hAnsi=""/>
                    <w:sz w:val="15"/>
                    <w:szCs w:val="15"/>
                    <w:lang w:val="EN-US" w:fareast="EN-US" w:bidi="AR-SA"/>
                  </w:rPr>
                  <w:t xml:space="preserve">j)     Que le montant indiqué à l’article 3.1 du présent Accord constituera l’unique rémunération que le Fournisseur recevra à ce titre. Ce dernier s’interdira d’accepter pour son propre bénéfice toute commission commerciale, tout rabais ou paiement similaire en rapport avec les activités menées au titre du présent Accord ou avec l’exécution de ses obligations à ce titre. Il veillera à ce qu’aucun sous-traitant, ni aucun membre du personnel ou agent de ses sous-traitants ne reçoive une quelconque rémunération additionnelle de ce type;  </w:t>
                </w:r>
              </w:p>
              <w:p>
                <w:pPr>
                  <w:jc w:val="both"/>
                  <w:ind w:left="1200"/>
                </w:pPr>
                <w:r>
                  <w:rPr>
                    <!--Entering my-element step two template-->
                    <!--Entering my-element step three template-->
                    <w:rFonts w:ascii="" w:hAnsi=""/>
                    <w:sz w:val="15"/>
                    <w:szCs w:val="15"/>
                    <w:lang w:val="EN-US" w:fareast="EN-US" w:bidi="AR-SA"/>
                  </w:rPr>
                  <w:t xml:space="preserve">k)     Qu’il respectera le statut juridique, les privilèges et les immunités de l’OIM en qualité d’organisation intergouvernementale, notamment l’inviolabilité de ses documents et archives, quel que soit leur emplacement, l’exonération de l’impôt et l’immunité judiciaire ou de juridiction nationale. Le Fournisseur informera immédiatement l’OIM de toute situation dont il a connaissance et dans laquelle le statut juridique, les privilèges ou les immunités de l’Organisation ne sont pas pleinement respectés ;  </w:t>
                </w:r>
              </w:p>
              <w:p>
                <w:pPr>
                  <w:jc w:val="both"/>
                  <w:ind w:left="1200"/>
                </w:pPr>
                <w:r>
                  <w:rPr>
                    <!--Entering my-element step two template-->
                    <!--Entering my-element step three template-->
                    <w:rFonts w:ascii="" w:hAnsi=""/>
                    <w:sz w:val="15"/>
                    <w:szCs w:val="15"/>
                    <w:lang w:val="EN-US" w:fareast="EN-US" w:bidi="AR-SA"/>
                  </w:rPr>
                  <w:t xml:space="preserve">l)     Qu’il ne figure pas dans la version la plus récente de la Liste récapitulative du Conseil de sécurité des Nations Unies et qu’il ne fait l’objet d’aucune sanction ou autre suspension temporaire. Le Fournisseur informera l’OIM de toute sanction ou suspension temporaire qui lui est imposée pendant la durée d’application du présent Accord ;  </w:t>
                </w:r>
              </w:p>
              <w:p>
                <w:pPr>
                  <w:jc w:val="both"/>
                  <w:ind w:left="1200"/>
                </w:pPr>
                <w:r>
                  <w:rPr>
                    <!--Entering my-element step two template-->
                    <!--Entering my-element step three template-->
                    <w:rFonts w:ascii="" w:hAnsi=""/>
                    <w:sz w:val="15"/>
                    <w:szCs w:val="15"/>
                    <w:lang w:val="EN-US" w:fareast="EN-US" w:bidi="AR-SA"/>
                  </w:rPr>
                  <w:t xml:space="preserve">m)     Qu’il n’engagera aucune personne, aucune entité ou aucun groupe en lien avec le terrorisme selon la version la plus récente de la Liste récapitulative du Conseil de sécurité des Nations Unies ou toute autre législation en vigueur relative au terrorisme, qu’il ne lui fournira ni ressources ni soutien et n’entretiendra aucun lien quel qu’il soit avec cette personne, cette entité ou ce groupe. Si, pendant la durée d’application du présent Accord, le Fournisseur estime que des allégations crédibles donnent à penser que les fonds qui lui ont été transférés au titre du présent Accord ont servi à aider ou à soutenir des personnes ou des entités en lien avec le terrorisme, il en informera sans délai l’OIM qui, en consultation avec les donateurs, le cas échéant, déterminera les mesures appropriées devant être prises. Le Fournisseur veillera à ce que la présente exigence figure dans tous les contrats de sous-traitance.</w:t>
                </w:r>
              </w:p>
              <w:p>
                <w:pPr>
                  <w:jc w:val="both"/>
                  <w:ind w:left="600"/>
                </w:pPr>
                <w:r>
                  <w:rPr>
                    <!--Entering my-element step two template-->
                    <!--Entering my-element step three template-->
                    <w:rFonts w:ascii="" w:hAnsi=""/>
                    <w:sz w:val="15"/>
                    <w:szCs w:val="15"/>
                    <w:lang w:val="EN-US" w:fareast="EN-US" w:bidi="AR-SA"/>
                  </w:rPr>
                  <w:t xml:space="preserve">9.5.     Le Fournisseur certifie qu’il se conformera aux normes éthiques les plus rigoureuses dans l’exécution du présent Accord, s’abstenant notamment de se livrer à tout acte de corruption, manœuvre frauduleuse, pratique discriminatoire ou forme d’exploitation, ou à des pratiques incompatibles avec les droits énoncés dans la Convention relative aux droits de l’enfant. Il informera sans délai l’OIM de toute allégation ou de tout soupçon d’existence, actuelle ou passée, des pratiques suivantes :</w:t>
                </w:r>
              </w:p>
              <w:p>
                <w:pPr>
                  <w:jc w:val="both"/>
                  <w:ind w:left="1200"/>
                </w:pPr>
                <w:r>
                  <w:rPr>
                    <!--Entering my-element step two template-->
                    <!--Entering my-element step three template-->
                    <w:rFonts w:ascii="" w:hAnsi=""/>
                    <w:sz w:val="15"/>
                    <w:szCs w:val="15"/>
                    <w:lang w:val="EN-US" w:fareast="EN-US" w:bidi="AR-SA"/>
                  </w:rPr>
                  <w:t xml:space="preserve">a)     Manœuvre frauduleuse : Tout acte ou omission, y compris une fausse déclaration ou une dissimulation, qui trompe ou tente de tromper, intentionnellement ou par négligence, une personne physique ou morale au cours de la procédure d’achat ou de l’exécution du contrat dans le but d’obtenir un gain financier ou tout autre avantage, de se soustraire à une obligation ou de porter préjudice à l’OIM ;</w:t>
                </w:r>
              </w:p>
              <w:p>
                <w:pPr>
                  <w:jc w:val="both"/>
                  <w:ind w:left="1200"/>
                </w:pPr>
                <w:r>
                  <w:rPr>
                    <!--Entering my-element step two template-->
                    <!--Entering my-element step three template-->
                    <w:rFonts w:ascii="" w:hAnsi=""/>
                    <w:sz w:val="15"/>
                    <w:szCs w:val="15"/>
                    <w:lang w:val="EN-US" w:fareast="EN-US" w:bidi="AR-SA"/>
                  </w:rPr>
                  <w:t xml:space="preserve">b)     Acte de corruption : Fait d’offrir, de donner, de recevoir ou de solliciter, directement ou indirectement, un quelconque avantage en vue d’influencer indûment l’action d’une autre personne physique ou morale au cours de la procédure d’achat ou de l’exécution du contrat, par exemple au moyen de pots-de-vin ;</w:t>
                </w:r>
              </w:p>
              <w:p>
                <w:pPr>
                  <w:jc w:val="both"/>
                  <w:ind w:left="1200"/>
                </w:pPr>
                <w:r>
                  <w:rPr>
                    <!--Entering my-element step two template-->
                    <!--Entering my-element step three template-->
                    <w:rFonts w:ascii="" w:hAnsi=""/>
                    <w:sz w:val="15"/>
                    <w:szCs w:val="15"/>
                    <w:lang w:val="EN-US" w:fareast="EN-US" w:bidi="AR-SA"/>
                  </w:rPr>
                  <w:t xml:space="preserve">c)     Pratique collusoire : Arrangement entre deux ou plusieurs soumissionnaires, ou d’autres personnes physiques ou morales, dans le but d’atteindre un objectif inapproprié, notamment d’influencer indûment les actions d’une autre personne physique ou morale ou de modifier artificiellement les résultats de la procédure d’achat en vue d’obtenir un gain financier ou tout autre avantage ;</w:t>
                </w:r>
              </w:p>
              <w:p>
                <w:pPr>
                  <w:jc w:val="both"/>
                  <w:ind w:left="1200"/>
                </w:pPr>
                <w:r>
                  <w:rPr>
                    <!--Entering my-element step two template-->
                    <!--Entering my-element step three template-->
                    <w:rFonts w:ascii="" w:hAnsi=""/>
                    <w:sz w:val="15"/>
                    <w:szCs w:val="15"/>
                    <w:lang w:val="EN-US" w:fareast="EN-US" w:bidi="AR-SA"/>
                  </w:rPr>
                  <w:t xml:space="preserve">d)     Pratique coercitive : Tout fait nuisible ou préjudiciable, ou menaçant de nuire ou de porter préjudice, directement ou indirectement, à une personne physique ou morale ou à ses biens, dans le but d’influencer indûment ses activités ou d’entraver l’exécution d’un contrat ;</w:t>
                </w:r>
              </w:p>
              <w:p>
                <w:pPr>
                  <w:jc w:val="both"/>
                  <w:ind w:left="1200"/>
                </w:pPr>
                <w:r>
                  <w:rPr>
                    <!--Entering my-element step two template-->
                    <!--Entering my-element step three template-->
                    <w:rFonts w:ascii="" w:hAnsi=""/>
                    <w:sz w:val="15"/>
                    <w:szCs w:val="15"/>
                    <w:lang w:val="EN-US" w:fareast="EN-US" w:bidi="AR-SA"/>
                  </w:rPr>
                  <w:t xml:space="preserve">e)     Pratique obstructionniste : Actes ou omissions visant à entraver concrètement l’exercice des droits contractuels de l’OIM en matière d’audit, d’enquête ou d’accès à l’information, y compris tout acte visant à détruire, falsifier, altérer ou dissimuler délibérément tout élément de preuve dans une enquête de l’OIM, ou le fait de faire de fausses déclarations à des enquêteurs de l’OIM afin d’entraver concrètement une enquête dûment autorisée sur des allégations de manœuvres frauduleuses, d’actes de corruption, de pratiques collusoires, coercitives ou contraires à l’éthique, et/ou de menacer, harceler ou intimider toute partie afin de l’empêcher de révéler ce qu’elle sait sur la matière de l’enquête ou de poursuivre celle-ci ;</w:t>
                </w:r>
              </w:p>
              <w:p>
                <w:pPr>
                  <w:jc w:val="both"/>
                  <w:ind w:left="1200"/>
                </w:pPr>
                <w:r>
                  <w:rPr>
                    <!--Entering my-element step two template-->
                    <!--Entering my-element step three template-->
                    <w:rFonts w:ascii="" w:hAnsi=""/>
                    <w:sz w:val="15"/>
                    <w:szCs w:val="15"/>
                    <w:lang w:val="EN-US" w:fareast="EN-US" w:bidi="AR-SA"/>
                  </w:rPr>
                  <w:t xml:space="preserve">f)     Pratique contraire à l’éthique : Toute pratique contraire au Statut et Règlement unifié du personnel de l’OIM ou au Code de conduite des Fournisseurs des Nations Unies, notamment en ce qui concerne les conflits d’intérêts, les cadeaux et invitations, les dispositions applicables postérieurement à l’emploi, l’abus d’autorité, le harcèlement, les pratiques discriminatoires ou d’exploitation ou les pratiques incompatibles avec les droits énoncés dans la Convention relative aux droits de l’enfant ;</w:t>
                </w:r>
              </w:p>
              <w:p>
                <w:pPr>
                  <w:jc w:val="both"/>
                  <w:ind w:left="1200"/>
                </w:pPr>
                <w:r>
                  <w:rPr>
                    <!--Entering my-element step two template-->
                    <!--Entering my-element step three template-->
                    <w:rFonts w:ascii="" w:hAnsi=""/>
                    <w:sz w:val="15"/>
                    <w:szCs w:val="15"/>
                    <w:lang w:val="EN-US" w:fareast="EN-US" w:bidi="AR-SA"/>
                  </w:rPr>
                  <w:t xml:space="preserve">g)     Blanchiment d’argent : Conversion ou transfert de biens dont celui qui s’y livre sait qu’ils sont le produit du crime, dans le but de dissimuler ou de déguiser l’origine illicite desdits biens ou d’aider toute personne qui est impliquée dans la ou les infractions à échapper aux conséquences juridiques de ses actes. Les biens comprennent, sans s’y limiter, l’argent.</w:t>
                </w:r>
              </w:p>
              <w:p>
                <w:pPr>
                  <w:jc w:val="both"/>
                  <w:ind w:left="600"/>
                </w:pPr>
                <w:r>
                  <w:rPr>
                    <!--Entering my-element step two template-->
                    <!--Entering my-element step three template-->
                    <w:rFonts w:ascii="" w:hAnsi=""/>
                    <w:sz w:val="15"/>
                    <w:szCs w:val="15"/>
                    <w:lang w:val="EN-US" w:fareast="EN-US" w:bidi="AR-SA"/>
                  </w:rPr>
                  <w:t xml:space="preserve">9.6.     Le Fournisseur garantit en outre :</w:t>
                </w:r>
              </w:p>
              <w:p>
                <w:pPr>
                  <w:jc w:val="both"/>
                  <w:ind w:left="1200"/>
                </w:pPr>
                <w:r>
                  <w:rPr>
                    <!--Entering my-element step two template-->
                    <!--Entering my-element step three template-->
                    <w:rFonts w:ascii="" w:hAnsi=""/>
                    <w:sz w:val="15"/>
                    <w:szCs w:val="15"/>
                    <w:lang w:val="EN-US" w:fareast="EN-US" w:bidi="AR-SA"/>
                  </w:rPr>
                  <w:t xml:space="preserve">a)  Qu’il prendra toutes les mesures voulues pour prévenir l’exploitation et les atteintes sexuelles (« SEA »), tel que ces termes sont définis dans la section 1 de la circulaire ST/SGB/2003/13 (la « circulaire du Secrétaire général »)1, et le harcèlement sexuel, tel que défini dans la section 1 de la politique type du système des Nations Unies sur le harcèlement sexuel2, par les employés ou sous-traitants, consultants, stagiaires ou bénévoles qui lui sont associés ou qui travaillent pour son compte afin d’exécuter des activités dans le cadre du présent Accord (« personnel associé »);  </w:t>
                </w:r>
              </w:p>
              <w:p>
                <w:pPr>
                  <w:jc w:val="both"/>
                  <w:ind w:left="1200"/>
                </w:pPr>
                <w:r>
                  <w:rPr>
                    <!--Entering my-element step two template-->
                    <!--Entering my-element step three template-->
                    <w:rFonts w:ascii="" w:hAnsi=""/>
                    <w:sz w:val="15"/>
                    <w:szCs w:val="15"/>
                    <w:lang w:val="EN-US" w:fareast="EN-US" w:bidi="AR-SA"/>
                  </w:rPr>
                  <w:t xml:space="preserve">b)     Qu’il acceptera et respectera les règles de conduite énumérées à la section 3 de la circulaire du Secrétaire général;  </w:t>
                </w:r>
              </w:p>
              <w:p>
                <w:pPr>
                  <w:jc w:val="both"/>
                  <w:ind w:left="1200"/>
                </w:pPr>
                <w:r>
                  <w:rPr>
                    <!--Entering my-element step two template-->
                    <!--Entering my-element step three template-->
                    <w:rFonts w:ascii="" w:hAnsi=""/>
                    <w:sz w:val="15"/>
                    <w:szCs w:val="15"/>
                    <w:lang w:val="EN-US" w:fareast="EN-US" w:bidi="AR-SA"/>
                  </w:rPr>
                  <w:t xml:space="preserve">c)     Qu’il signalera rapidement et confidentiellement à l’OIM toute allégation ou suspicion d’acte de SEA ou de harcèlement sexuel concernant ses employés ou le personnel associé ; qu’il enquêtera rapidement sur toute allégation crédible d’acte de SEA ou de harcèlement sexuel concernant ses employés ou le personnel associé, et qu’il informera l’OIM du résultat de cette enquête ; qu’il prendra les mesures correctives qui s’imposent, y compris des mesures disciplinaires à l’encontre de tout employé ou membre du personnel associé ayant commis un acte de SEA ou de harcèlement sexuel, et qu’il informera l’OIM des mesures correctives ainsi prises;  </w:t>
                </w:r>
              </w:p>
              <w:p>
                <w:pPr>
                  <w:jc w:val="both"/>
                  <w:ind w:left="1200"/>
                </w:pPr>
                <w:r>
                  <w:rPr>
                    <!--Entering my-element step two template-->
                    <!--Entering my-element step three template-->
                    <w:rFonts w:ascii="" w:hAnsi=""/>
                    <w:sz w:val="15"/>
                    <w:szCs w:val="15"/>
                    <w:lang w:val="EN-US" w:fareast="EN-US" w:bidi="AR-SA"/>
                  </w:rPr>
                  <w:t xml:space="preserve">d)     Qu’il communiquera à l’OIM, sur demande écrite, toutes les informations pertinentes permettant de déterminer s’il a mené les enquêtes et pris les mesures correctives qui s’imposaient en cas d’acte de SEA ou de harcèlement sexuel. Le fait de ne pas mener les enquêtes ou prendre les mesures correctives qui s’imposent selon l’OIM constituera une violation patente du présent Accord;  </w:t>
                </w:r>
              </w:p>
              <w:p>
                <w:pPr>
                  <w:jc w:val="both"/>
                  <w:ind w:left="1200"/>
                </w:pPr>
                <w:r>
                  <w:rPr>
                    <!--Entering my-element step two template-->
                    <!--Entering my-element step three template-->
                    <w:rFonts w:ascii="" w:hAnsi=""/>
                    <w:sz w:val="15"/>
                    <w:szCs w:val="15"/>
                    <w:lang w:val="EN-US" w:fareast="EN-US" w:bidi="AR-SA"/>
                  </w:rPr>
                  <w:t xml:space="preserve">e)    Qu’il veillera à ce que les dispositions relatives à la SEA et au harcèlement sexuel énoncées dans le présent article figurent dans tous les contrats de sous-traitance liés au présent Accord;  </w:t>
                </w:r>
              </w:p>
              <w:p>
                <w:pPr>
                  <w:jc w:val="both"/>
                  <w:ind w:left="1200"/>
                </w:pPr>
                <w:r>
                  <w:rPr>
                    <!--Entering my-element step two template-->
                    <!--Entering my-element step three template-->
                    <w:rFonts w:ascii="" w:hAnsi=""/>
                    <w:sz w:val="15"/>
                    <w:szCs w:val="15"/>
                    <w:lang w:val="EN-US" w:fareast="EN-US" w:bidi="AR-SA"/>
                  </w:rPr>
                  <w:t xml:space="preserve">f)      Qu’il se conformera aux dispositions du présent Article pendant toute la durée d’application du présent Accord.</w:t>
                </w:r>
              </w:p>
              <w:p>
                <w:pPr>
                  <w:jc w:val="both"/>
                  <w:ind w:left="600"/>
                </w:pPr>
                <w:r>
                  <w:rPr>
                    <!--Entering my-element step two template-->
                    <!--Entering my-element step three template-->
                    <w:rFonts w:ascii="" w:hAnsi=""/>
                    <w:sz w:val="15"/>
                    <w:szCs w:val="15"/>
                    <w:lang w:val="EN-US" w:fareast="EN-US" w:bidi="AR-SA"/>
                  </w:rPr>
                  <w:t xml:space="preserve">9.7.     Le Fournisseur reconnaît et accepte expressément que le non-respect, par lui-même, ses employés ou son personnel associé, de toute disposition visée aux articles 9.4, 9.5 ou 9.6 du présent Accord constitue une violation patente de celui-ci et ouvrira droit à sa résiliation immédiate par l’OIM, sur notification écrite et sans que la responsabilité de l’Organisation soit engagée. Si l’OIM estime, à l’issue d’une enquête ou autrement, qu’une telle violation a été commise, elle sera en droit, non seulement de résilier l’Accord, mais aussi de recouvrer auprès du Fournisseur toutes les pertes qu’elle a subies du fait de ladite violation.    </w:t>
                </w:r>
              </w:p>
              <w:p>
                <w:pPr>
                  <w:jc w:val="both"/>
                  <w:ind w:left="600"/>
                </w:pPr>
                <w:r>
                  <w:rPr>
                    <!--Entering my-element step two template-->
                    <!--Entering my-element step three template-->
                    <w:rFonts w:ascii="" w:hAnsi=""/>
                    <w:sz w:val="15"/>
                    <w:szCs w:val="15"/>
                    <w:lang w:val="EN-US" w:fareast="EN-US" w:bidi="AR-SA"/>
                  </w:rPr>
                  <w:t xml:space="preserve">9.8.      L’OIM aura le droit d’enquêter sur toute allégation (y compris, mais sans s’y limiter, de SEA, de harcèlement sexuel, de fraude ou de corruption) impliquant le Fournisseur, ses employés ou son personnel associé, indépendamment des enquêtes connexes lancées par le Fournisseur ou les autorités nationales. Le Fournisseur coopérera pleinement et en temps utile à la conduite de ces enquêtes. Dans le cadre de cette coopération, il devra notamment, à des heures et à des conditions raisonnables, mettre à disposition son personnel et tout document pertinent à cette fin et, à ce titre, donner accès à ses locaux. Le Fournisseur exigera de ses agents, notamment mais non exclusivement ses avocats, comptables ou autres conseillers, qu’ils coopèrent raisonnablement à toute enquête de ce type menée par l’OIM.</w:t>
                </w:r>
              </w:p>
              <w:p>
                <w:pPr>
                  <w:jc w:val="both"/>
                </w:pPr>
                <w:r>
                  <w:rPr>
                    <!--Entering my-element step two template-->
                    <!--Entering my-element step three template-->
                    <w:rFonts w:ascii="" w:hAnsi=""/>
                    <w:sz w:val="15"/>
                    <w:szCs w:val="15"/>
                    <w:lang w:val="EN-US" w:fareast="EN-US" w:bidi="AR-SA"/>
                  </w:rPr>
                </w:r>
                <w:r>
                  <w:rPr>
                    <w:rFonts w:ascii="" w:hAnsi=""/>
                    <w:sz w:val="15"/>
                    <w:szCs w:val="15"/>
                    <w:lang w:val="EN-US" w:fareast="EN-US" w:bidi="AR-SA"/>
                    <w:b/>
                    <w:rFonts w:ascii="" w:hAnsi=""/>
                    <w:sz w:val="15"/>
                    <w:szCs w:val="15"/>
                    <w:lang w:val="EN-US" w:fareast="EN-US" w:bidi="AR-SA"/>
                  </w:rPr>
                  <w:t xml:space="preserve">10.    Cession et sous-traitance</w:t>
                </w:r>
                <w:r>
                  <w:rPr>
                    <w:rFonts w:ascii="" w:hAnsi=""/>
                    <w:sz w:val="15"/>
                    <w:szCs w:val="15"/>
                    <w:lang w:val="EN-US" w:fareast="EN-US" w:bidi="AR-SA"/>
                  </w:rPr>
                </w:r>
              </w:p>
              <w:p>
                <w:pPr>
                  <w:jc w:val="both"/>
                  <w:ind w:left="600"/>
                </w:pPr>
                <w:r>
                  <w:rPr>
                    <!--Entering my-element step two template-->
                    <!--Entering my-element step three template-->
                    <w:rFonts w:ascii="" w:hAnsi=""/>
                    <w:sz w:val="15"/>
                    <w:szCs w:val="15"/>
                    <w:lang w:val="EN-US" w:fareast="EN-US" w:bidi="AR-SA"/>
                  </w:rPr>
                  <w:t xml:space="preserve">10.1.    Le Fournisseur ne cédera ni ne sous-traitera, partiellement ou intégralement, le présent Accord ou toute activité visée par celui-ci, sauf accord écrit préalable de l’OIM. Tout contrat de sous-traitance passé par le Fournisseur sans l’accord écrit de l’OIM peut être une cause de résiliation du présent Accord.</w:t>
                </w:r>
              </w:p>
              <w:p>
                <w:pPr>
                  <w:jc w:val="both"/>
                  <w:ind w:left="600"/>
                </w:pPr>
                <w:r>
                  <w:rPr>
                    <!--Entering my-element step two template-->
                    <!--Entering my-element step three template-->
                    <w:rFonts w:ascii="" w:hAnsi=""/>
                    <w:sz w:val="15"/>
                    <w:szCs w:val="15"/>
                    <w:lang w:val="EN-US" w:fareast="EN-US" w:bidi="AR-SA"/>
                  </w:rPr>
                  <w:t xml:space="preserve">10.2.    Ledit accord écrit n’exonérera pas le Fournisseur des responsabilités ou obligations découlant du présent Accord, ni ne créera une relation contractuelle entre un sous-traitant éventuel et l’OIM. Le Fournisseur fera figurer dans tout accord signé avec un sous-traitant toutes les dispositions du présent Accord applicables à celui-ci, y compris les garanties et dispositions spéciales pertinentes. En qualité de débiteur principal, le Fournisseur reste tenu aux obligations découlant du présent Accord, et répondra directement devant l’OIM de tout vice d’exécution dans le cadre de tout contrat de sous-traitance. Le sous-traitant ne sera pas fondé à se retourner contre l’OIM en cas de non-respect de l’accord de sous-traitance.</w:t>
                </w:r>
              </w:p>
              <w:p>
                <w:pPr>
                  <w:jc w:val="both"/>
                </w:pPr>
                <w:r>
                  <w:rPr>
                    <!--Entering my-element step two template-->
                    <!--Entering my-element step three template-->
                    <w:rFonts w:ascii="" w:hAnsi=""/>
                    <w:sz w:val="15"/>
                    <w:szCs w:val="15"/>
                    <w:lang w:val="EN-US" w:fareast="EN-US" w:bidi="AR-SA"/>
                  </w:rPr>
                </w:r>
                <w:r>
                  <w:rPr>
                    <w:rFonts w:ascii="" w:hAnsi=""/>
                    <w:sz w:val="15"/>
                    <w:szCs w:val="15"/>
                    <w:lang w:val="EN-US" w:fareast="EN-US" w:bidi="AR-SA"/>
                    <w:b/>
                    <w:rFonts w:ascii="" w:hAnsi=""/>
                    <w:sz w:val="15"/>
                    <w:szCs w:val="15"/>
                    <w:lang w:val="EN-US" w:fareast="EN-US" w:bidi="AR-SA"/>
                  </w:rPr>
                  <w:t xml:space="preserve">11.   Force majeure</w:t>
                </w:r>
                <w:r>
                  <w:rPr>
                    <w:rFonts w:ascii="" w:hAnsi=""/>
                    <w:sz w:val="15"/>
                    <w:szCs w:val="15"/>
                    <w:lang w:val="EN-US" w:fareast="EN-US" w:bidi="AR-SA"/>
                  </w:rPr>
                </w:r>
              </w:p>
              <w:p>
                <w:pPr>
                  <w:jc w:val="both"/>
                  <w:ind w:left="600"/>
                </w:pPr>
                <w:r>
                  <w:rPr>
                    <!--Entering my-element step two template-->
                    <!--Entering my-element step three template-->
                    <w:rFonts w:ascii="" w:hAnsi=""/>
                    <w:sz w:val="15"/>
                    <w:szCs w:val="15"/>
                    <w:lang w:val="EN-US" w:fareast="EN-US" w:bidi="AR-SA"/>
                  </w:rPr>
                  <w:t xml:space="preserve">11.1.    Aucune des Parties ne sera responsable d’un retard pris dans l’exécution de l’une quelconque des obligations découlant du présent Accord ou de l’inexécution desdites obligations si ce retard ou cette inexécution sont dus à un cas de force majeure, autrement dit un phénomène naturel imprévisible et inévitable, un acte de guerre (déclarée ou non), une invasion, une révolution, une insurrection, un acte de terrorisme, un blocus ou un embargo, une grève, des restrictions imposées par les pouvoirs publics, une catastrophe naturelle, une épidémie, une crise sanitaire publique, ou toute autre circonstance qui n’est pas causée par la Partie touchée ou échappe à son contrôle.</w:t>
                </w:r>
              </w:p>
              <w:p>
                <w:pPr>
                  <w:jc w:val="both"/>
                  <w:ind w:left="600"/>
                </w:pPr>
                <w:r>
                  <w:rPr>
                    <!--Entering my-element step two template-->
                    <!--Entering my-element step three template-->
                    <w:rFonts w:ascii="" w:hAnsi=""/>
                    <w:sz w:val="15"/>
                    <w:szCs w:val="15"/>
                    <w:lang w:val="EN-US" w:fareast="EN-US" w:bidi="AR-SA"/>
                  </w:rPr>
                  <w:t xml:space="preserve">11.2.     Le plus tôt possible après l’apparition d’un cas de force majeure affectant la capacité de la Partie touchée à honorer ses obligations au titre du présent Accord, celle-ci informera l’autre Partie, par écrit et en détail, de l’existence dudit cas de force majeure et de la probabilité d’un retard. À réception de cet avis, l’autre Partie prendra toutes les mesures qu’elle juge raisonnablement appropriées ou nécessaires compte tenu des circonstances, notamment l’octroi à la Partie touchée d’un délai supplémentaire raisonnable pour s’acquitter de ses obligations. Au cours de la période de force majeure, la Partie touchée prendra toutes les mesures raisonnables pour limiter le préjudice et reprendre l’exécution de l’Accord.  </w:t>
                </w:r>
              </w:p>
              <w:p>
                <w:pPr>
                  <w:jc w:val="both"/>
                  <w:ind w:left="600"/>
                </w:pPr>
                <w:r>
                  <w:rPr>
                    <!--Entering my-element step two template-->
                    <!--Entering my-element step three template-->
                    <w:rFonts w:ascii="" w:hAnsi=""/>
                    <w:sz w:val="15"/>
                    <w:szCs w:val="15"/>
                    <w:lang w:val="EN-US" w:fareast="EN-US" w:bidi="AR-SA"/>
                  </w:rPr>
                  <w:t xml:space="preserve">11.3.     L’OIM sera en droit de suspendre ou de résilier l’Accord sans que sa responsabilité soit engagée si le Fournisseur n’est pas en mesure d’exécuter ses obligations au titre du présent Accord pour cause de force majeure. Les dispositions de l’Article relatif à la résiliation s’appliqueront à ladite suspension ou résiliation.</w:t>
                </w:r>
              </w:p>
              <w:p>
                <w:pPr>
                  <w:jc w:val="both"/>
                </w:pPr>
                <w:r>
                  <w:rPr>
                    <!--Entering my-element step two template-->
                    <!--Entering my-element step three template-->
                    <w:rFonts w:ascii="" w:hAnsi=""/>
                    <w:sz w:val="15"/>
                    <w:szCs w:val="15"/>
                    <w:lang w:val="EN-US" w:fareast="EN-US" w:bidi="AR-SA"/>
                  </w:rPr>
                </w:r>
                <w:r>
                  <w:rPr>
                    <w:rFonts w:ascii="" w:hAnsi=""/>
                    <w:sz w:val="15"/>
                    <w:szCs w:val="15"/>
                    <w:lang w:val="EN-US" w:fareast="EN-US" w:bidi="AR-SA"/>
                    <w:b/>
                    <w:rFonts w:ascii="" w:hAnsi=""/>
                    <w:sz w:val="15"/>
                    <w:szCs w:val="15"/>
                    <w:lang w:val="EN-US" w:fareast="EN-US" w:bidi="AR-SA"/>
                  </w:rPr>
                  <w:t xml:space="preserve">12.    Entreprise indépendante</w:t>
                </w:r>
                <w:r>
                  <w:rPr>
                    <w:rFonts w:ascii="" w:hAnsi=""/>
                    <w:sz w:val="15"/>
                    <w:szCs w:val="15"/>
                    <w:lang w:val="EN-US" w:fareast="EN-US" w:bidi="AR-SA"/>
                  </w:rPr>
                </w:r>
              </w:p>
              <w:p>
                <w:pPr>
                  <w:jc w:val="both"/>
                  <w:ind w:left="600"/>
                </w:pPr>
                <w:r>
                  <w:rPr>
                    <!--Entering my-element step two template-->
                    <!--Entering my-element step three template-->
                    <w:rFonts w:ascii="" w:hAnsi=""/>
                    <w:sz w:val="15"/>
                    <w:szCs w:val="15"/>
                    <w:lang w:val="EN-US" w:fareast="EN-US" w:bidi="AR-SA"/>
                  </w:rPr>
                  <w:t xml:space="preserve">Le Fournisseur, ses employés et son autre personnel, de même que ses éventuels sous-traitants et leur personnel, fourniront toutes les marchandises et exécuteront tous les Services visés par le présent Accord en qualité d’entreprise indépendante et non d’agent ou d’employé de l’OIM.</w:t>
                </w:r>
              </w:p>
              <w:p>
                <w:pPr>
                  <w:jc w:val="both"/>
                </w:pPr>
                <w:r>
                  <w:rPr>
                    <!--Entering my-element step two template-->
                    <!--Entering my-element step three template-->
                    <w:rFonts w:ascii="" w:hAnsi=""/>
                    <w:sz w:val="15"/>
                    <w:szCs w:val="15"/>
                    <w:lang w:val="EN-US" w:fareast="EN-US" w:bidi="AR-SA"/>
                  </w:rPr>
                </w:r>
                <w:r>
                  <w:rPr>
                    <w:rFonts w:ascii="" w:hAnsi=""/>
                    <w:sz w:val="15"/>
                    <w:szCs w:val="15"/>
                    <w:lang w:val="EN-US" w:fareast="EN-US" w:bidi="AR-SA"/>
                    <w:b/>
                    <w:rFonts w:ascii="" w:hAnsi=""/>
                    <w:sz w:val="15"/>
                    <w:szCs w:val="15"/>
                    <w:lang w:val="EN-US" w:fareast="EN-US" w:bidi="AR-SA"/>
                  </w:rPr>
                  <w:t xml:space="preserve">13.     Vérification des comptes</w:t>
                </w:r>
                <w:r>
                  <w:rPr>
                    <w:rFonts w:ascii="" w:hAnsi=""/>
                    <w:sz w:val="15"/>
                    <w:szCs w:val="15"/>
                    <w:lang w:val="EN-US" w:fareast="EN-US" w:bidi="AR-SA"/>
                  </w:rPr>
                </w:r>
              </w:p>
              <w:p>
                <w:pPr>
                  <w:jc w:val="both"/>
                  <w:ind w:left="600"/>
                </w:pPr>
                <w:r>
                  <w:rPr>
                    <!--Entering my-element step two template-->
                    <!--Entering my-element step three template-->
                    <w:rFonts w:ascii="" w:hAnsi=""/>
                    <w:sz w:val="15"/>
                    <w:szCs w:val="15"/>
                    <w:lang w:val="EN-US" w:fareast="EN-US" w:bidi="AR-SA"/>
                  </w:rPr>
                  <w:t xml:space="preserve">Le Fournisseur accepte de tenir un registre financier et de conserver les pièces justificatives et les rapports statistiques correspondants, ainsi que toute autre pièce, conformément aux règles comptables généralement reconnues, afin de justifier de manière adéquate toutes les dépenses directes et indirectes, quelle que soit leur nature, qui concernent des transactions liées à la fourniture et à la livraison des Marchandises et des Services au titre du présent Accord. Il mettra tous ces documents à la disposition de l’OIM ou du représentant désigné de celle-ci à tout moment raisonnable avant l’expiration d’une période de 7 (sept) ans à compter de la date du dernier paiement, aux fins d’inspection, de vérification des comptes ou de reproduction. Sur demande, les employés du Fournisseur se rendront disponibles pour un entretien.  </w:t>
                </w:r>
              </w:p>
              <w:p>
                <w:pPr>
                  <w:jc w:val="both"/>
                </w:pPr>
                <w:r>
                  <w:rPr>
                    <!--Entering my-element step two template-->
                    <!--Entering my-element step three template-->
                    <w:rFonts w:ascii="" w:hAnsi=""/>
                    <w:sz w:val="15"/>
                    <w:szCs w:val="15"/>
                    <w:lang w:val="EN-US" w:fareast="EN-US" w:bidi="AR-SA"/>
                  </w:rPr>
                </w:r>
                <w:r>
                  <w:rPr>
                    <w:rFonts w:ascii="" w:hAnsi=""/>
                    <w:sz w:val="15"/>
                    <w:szCs w:val="15"/>
                    <w:lang w:val="EN-US" w:fareast="EN-US" w:bidi="AR-SA"/>
                    <w:b/>
                    <w:rFonts w:ascii="" w:hAnsi=""/>
                    <w:sz w:val="15"/>
                    <w:szCs w:val="15"/>
                    <w:lang w:val="EN-US" w:fareast="EN-US" w:bidi="AR-SA"/>
                  </w:rPr>
                  <w:t xml:space="preserve">14.     Confidentialité</w:t>
                </w:r>
                <w:r>
                  <w:rPr>
                    <w:rFonts w:ascii="" w:hAnsi=""/>
                    <w:sz w:val="15"/>
                    <w:szCs w:val="15"/>
                    <w:lang w:val="EN-US" w:fareast="EN-US" w:bidi="AR-SA"/>
                  </w:rPr>
                </w:r>
              </w:p>
              <w:p>
                <w:pPr>
                  <w:jc w:val="both"/>
                  <w:ind w:left="600"/>
                </w:pPr>
                <w:r>
                  <w:rPr>
                    <!--Entering my-element step two template-->
                    <!--Entering my-element step three template-->
                    <w:rFonts w:ascii="" w:hAnsi=""/>
                    <w:sz w:val="15"/>
                    <w:szCs w:val="15"/>
                    <w:lang w:val="EN-US" w:fareast="EN-US" w:bidi="AR-SA"/>
                  </w:rPr>
                  <w:t xml:space="preserve">14.1.    Toute information dont le Fournisseur entre en possession ou dont il a connaissance du fait du présent Accord est strictement confidentielle et ne peut être communiquée à des tiers sans l’autorisation écrite préalable de l’OIM. Le Fournisseur se conformera aux principes de l’OIM relatifs à la protection des données dans les cas où il devrait recueillir, recevoir, utiliser, transférer, stocker ou traiter de toute autre manière des données à caractère personnel dans le cadre de l’exécution du présent accord. L’expiration ou la résiliation du présent accord n’entraînera pas l’extinction de ces obligations.</w:t>
                </w:r>
              </w:p>
              <w:p>
                <w:pPr>
                  <w:jc w:val="both"/>
                  <w:ind w:left="600"/>
                </w:pPr>
                <w:r>
                  <w:rPr>
                    <!--Entering my-element step two template-->
                    <!--Entering my-element step three template-->
                    <w:rFonts w:ascii="" w:hAnsi=""/>
                    <w:sz w:val="15"/>
                    <w:szCs w:val="15"/>
                    <w:lang w:val="EN-US" w:fareast="EN-US" w:bidi="AR-SA"/>
                  </w:rPr>
                  <w:t xml:space="preserve">14.2.       Nonobstant le paragraphe précédent, l’OIM pourra divulguer les modalités du présent Accord et des informations relatives à celui-ci, telles que le nom et l’adresse du Fournisseur, l’intitulé du contrat ou du projet, la nature et l’objet du contrat ou du projet, ainsi que le montant du contrat ou du projet, si les donateurs de l’OIM ou ses vérificateurs de comptes l’exigent ou si cela se révèle nécessaire du fait de l’attachement de l’OIM à une initiative quelconque, à des fins de responsabilité et de transparence des financements reçus par l’Organisation, pour autant que cette divulgation soit conforme aux politiques, instructions et règlements de cette dernière.</w:t>
                </w:r>
              </w:p>
              <w:p>
                <w:pPr>
                  <w:jc w:val="both"/>
                </w:pPr>
                <w:r>
                  <w:rPr>
                    <!--Entering my-element step two template-->
                    <!--Entering my-element step three template-->
                    <w:rFonts w:ascii="" w:hAnsi=""/>
                    <w:sz w:val="15"/>
                    <w:szCs w:val="15"/>
                    <w:lang w:val="EN-US" w:fareast="EN-US" w:bidi="AR-SA"/>
                  </w:rPr>
                </w:r>
                <w:r>
                  <w:rPr>
                    <w:rFonts w:ascii="" w:hAnsi=""/>
                    <w:sz w:val="15"/>
                    <w:szCs w:val="15"/>
                    <w:lang w:val="EN-US" w:fareast="EN-US" w:bidi="AR-SA"/>
                    <w:b/>
                    <w:rFonts w:ascii="" w:hAnsi=""/>
                    <w:sz w:val="15"/>
                    <w:szCs w:val="15"/>
                    <w:lang w:val="EN-US" w:fareast="EN-US" w:bidi="AR-SA"/>
                  </w:rPr>
                  <w:t xml:space="preserve">15.     Règlement des litiges</w:t>
                </w:r>
                <w:r>
                  <w:rPr>
                    <w:rFonts w:ascii="" w:hAnsi=""/>
                    <w:sz w:val="15"/>
                    <w:szCs w:val="15"/>
                    <w:lang w:val="EN-US" w:fareast="EN-US" w:bidi="AR-SA"/>
                  </w:rPr>
                </w:r>
              </w:p>
              <w:p>
                <w:pPr>
                  <w:jc w:val="both"/>
                  <w:ind w:left="600"/>
                </w:pPr>
                <w:r>
                  <w:rPr>
                    <!--Entering my-element step two template-->
                    <!--Entering my-element step three template-->
                    <w:rFonts w:ascii="" w:hAnsi=""/>
                    <w:sz w:val="15"/>
                    <w:szCs w:val="15"/>
                    <w:lang w:val="EN-US" w:fareast="EN-US" w:bidi="AR-SA"/>
                  </w:rPr>
                  <w:t xml:space="preserve">15.1.      Tout litige, tout différent ou toute réclamation découlant du présent Accord ou y afférent, ou découlant de toute violation, résiliation ou     nullité du présent Accord, sera réglé à l’amiable par voie de négociation entre les Parties.</w:t>
                </w:r>
              </w:p>
              <w:p>
                <w:pPr>
                  <w:jc w:val="both"/>
                  <w:ind w:left="600"/>
                </w:pPr>
                <w:r>
                  <w:rPr>
                    <!--Entering my-element step two template-->
                    <!--Entering my-element step three template-->
                    <w:rFonts w:ascii="" w:hAnsi=""/>
                    <w:sz w:val="15"/>
                    <w:szCs w:val="15"/>
                    <w:lang w:val="EN-US" w:fareast="EN-US" w:bidi="AR-SA"/>
                  </w:rPr>
                  <w:t xml:space="preserve">15.2.      Si le litige, le différent ou la réclamation n’est pas réglé par voie de négociation dans les 3 (trois) mois suivant la réception de l’avis, notifié par l’une des Parties, de l’existence de ce litige, de ce différent ou de cette réclamation, l’une ou l’autre des Parties pourra demander un règlement par voie de médiation, conformément au règlement de médiation de la Commission des Nations Unies pour le droit commercial international (CNUDCI) en vigueur à la date considérée.</w:t>
                </w:r>
              </w:p>
              <w:p>
                <w:pPr>
                  <w:jc w:val="both"/>
                  <w:ind w:left="600"/>
                </w:pPr>
                <w:r>
                  <w:rPr>
                    <!--Entering my-element step two template-->
                    <!--Entering my-element step three template-->
                    <w:rFonts w:ascii="" w:hAnsi=""/>
                    <w:sz w:val="15"/>
                    <w:szCs w:val="15"/>
                    <w:lang w:val="EN-US" w:fareast="EN-US" w:bidi="AR-SA"/>
                  </w:rPr>
                  <w:t xml:space="preserve">15.3.      En cas d’échec de la médiation pour le litige, le différent ou la réclamation en question, chaque Partie pourra demander un arbitrage   conformément au règlement d’arbitrage de la CNUDCI en vigueur à la date considérée, au plus tard 3 (trois) mois après la date de clôture de la procédure de médiation, conformément à l’article 9 du règlement de médiation de la CNUDCI. La procédure d’arbitrage sera menée par un seul arbitre et se déroulera en anglais. L’autorité compétente pour désigner l’arbitre est le secrétariat général de la Cour permanente d’arbitrage. Le tribunal arbitral n’aura pas le pouvoir d’ordonner le paiement de dommages-intérêts. Le siège de l’arbitrage est établi à Genève (Suisse).</w:t>
                </w:r>
              </w:p>
              <w:p>
                <w:pPr>
                  <w:jc w:val="both"/>
                  <w:ind w:left="600"/>
                </w:pPr>
                <w:r>
                  <w:rPr>
                    <!--Entering my-element step two template-->
                    <!--Entering my-element step three template-->
                    <w:rFonts w:ascii="" w:hAnsi=""/>
                    <w:sz w:val="15"/>
                    <w:szCs w:val="15"/>
                    <w:lang w:val="EN-US" w:fareast="EN-US" w:bidi="AR-SA"/>
                  </w:rPr>
                  <w:t xml:space="preserve">15.4.    Tous les aspects du règlement des litiges conformément aux paragraphes 1 à 3 du présent Article seront traités de manière confidentielle par les Parties et toutes les autres entités concernées.  </w:t>
                </w:r>
              </w:p>
              <w:p>
                <w:pPr>
                  <w:jc w:val="both"/>
                  <w:ind w:left="600"/>
                </w:pPr>
                <w:r>
                  <w:rPr>
                    <!--Entering my-element step two template-->
                    <!--Entering my-element step three template-->
                    <w:rFonts w:ascii="" w:hAnsi=""/>
                    <w:sz w:val="15"/>
                    <w:szCs w:val="15"/>
                    <w:lang w:val="EN-US" w:fareast="EN-US" w:bidi="AR-SA"/>
                  </w:rPr>
                  <w:t xml:space="preserve">15.5.      L’accord d’arbitrage précité sera régi par les dispositions du présent Accord, qui seront complétées par les principes généraux du droit acceptés sur le plan international (notamment les Principes de l’Institut international pour l’unification du droit privé (UNIDROIT) relatifs aux contrats du commerce international) pour les questions non visées par le présent Accord, à l’exclusion de tout système de droit interne qui soumettrait l’Accord à une quelconque législation nationale.</w:t>
                </w:r>
              </w:p>
              <w:p>
                <w:pPr>
                  <w:jc w:val="both"/>
                  <w:ind w:left="600"/>
                </w:pPr>
                <w:r>
                  <w:rPr>
                    <!--Entering my-element step two template-->
                    <!--Entering my-element step three template-->
                    <w:rFonts w:ascii="" w:hAnsi=""/>
                    <w:sz w:val="15"/>
                    <w:szCs w:val="15"/>
                    <w:lang w:val="EN-US" w:fareast="EN-US" w:bidi="AR-SA"/>
                  </w:rPr>
                  <w:t xml:space="preserve">15.6.       Les dispositions du présent Article survivent à l’expiration ou à la résiliation du présent Accord.</w:t>
                </w:r>
              </w:p>
              <w:p>
                <w:pPr>
                  <w:jc w:val="both"/>
                </w:pPr>
                <w:r>
                  <w:rPr>
                    <!--Entering my-element step two template-->
                    <!--Entering my-element step three template-->
                    <w:rFonts w:ascii="" w:hAnsi=""/>
                    <w:sz w:val="15"/>
                    <w:szCs w:val="15"/>
                    <w:lang w:val="EN-US" w:fareast="EN-US" w:bidi="AR-SA"/>
                  </w:rPr>
                </w:r>
                <w:r>
                  <w:rPr>
                    <w:rFonts w:ascii="" w:hAnsi=""/>
                    <w:sz w:val="15"/>
                    <w:szCs w:val="15"/>
                    <w:lang w:val="EN-US" w:fareast="EN-US" w:bidi="AR-SA"/>
                    <w:b/>
                    <w:rFonts w:ascii="" w:hAnsi=""/>
                    <w:sz w:val="15"/>
                    <w:szCs w:val="15"/>
                    <w:lang w:val="EN-US" w:fareast="EN-US" w:bidi="AR-SA"/>
                  </w:rPr>
                  <w:t xml:space="preserve">16.     Utilisation du nom, du sigle et de l’emblème de l’OIM</w:t>
                </w:r>
                <w:r>
                  <w:rPr>
                    <w:rFonts w:ascii="" w:hAnsi=""/>
                    <w:sz w:val="15"/>
                    <w:szCs w:val="15"/>
                    <w:lang w:val="EN-US" w:fareast="EN-US" w:bidi="AR-SA"/>
                  </w:rPr>
                </w:r>
              </w:p>
              <w:p>
                <w:pPr>
                  <w:jc w:val="both"/>
                  <w:ind w:left="600"/>
                </w:pPr>
                <w:r>
                  <w:rPr>
                    <!--Entering my-element step two template-->
                    <!--Entering my-element step three template-->
                    <w:rFonts w:ascii="" w:hAnsi=""/>
                    <w:sz w:val="15"/>
                    <w:szCs w:val="15"/>
                    <w:lang w:val="EN-US" w:fareast="EN-US" w:bidi="AR-SA"/>
                  </w:rPr>
                  <w:t xml:space="preserve">Le Fournisseur ne pourra utiliser le nom, le sigle ou l’emblème de l’OIM sans l’autorisation écrite préalable de celle-ci. Il reconnaît que l’utilisation du nom, du sigle et de l’emblème de l’OIM est strictement réservée aux usages officiels de l’Organisation et protégée contre toute utilisation non autorisée par l’article 6ter de la Convention de Paris pour la protection de la propriété industrielle, révisée à Stockholm en 1967 (Recueil de Traités des Nations Unies, vol. 828, p. 305 (1972)).</w:t>
                </w:r>
              </w:p>
              <w:p>
                <w:pPr>
                  <w:jc w:val="both"/>
                </w:pPr>
                <w:r>
                  <w:rPr>
                    <!--Entering my-element step two template-->
                    <!--Entering my-element step three template-->
                    <w:rFonts w:ascii="" w:hAnsi=""/>
                    <w:sz w:val="15"/>
                    <w:szCs w:val="15"/>
                    <w:lang w:val="EN-US" w:fareast="EN-US" w:bidi="AR-SA"/>
                  </w:rPr>
                </w:r>
                <w:r>
                  <w:rPr>
                    <w:rFonts w:ascii="" w:hAnsi=""/>
                    <w:sz w:val="15"/>
                    <w:szCs w:val="15"/>
                    <w:lang w:val="EN-US" w:fareast="EN-US" w:bidi="AR-SA"/>
                    <w:b/>
                    <w:rFonts w:ascii="" w:hAnsi=""/>
                    <w:sz w:val="15"/>
                    <w:szCs w:val="15"/>
                    <w:lang w:val="EN-US" w:fareast="EN-US" w:bidi="AR-SA"/>
                  </w:rPr>
                  <w:t xml:space="preserve">17.     Statut de l’OIM</w:t>
                </w:r>
                <w:r>
                  <w:rPr>
                    <w:rFonts w:ascii="" w:hAnsi=""/>
                    <w:sz w:val="15"/>
                    <w:szCs w:val="15"/>
                    <w:lang w:val="EN-US" w:fareast="EN-US" w:bidi="AR-SA"/>
                  </w:rPr>
                </w:r>
              </w:p>
              <w:p>
                <w:pPr>
                  <w:jc w:val="both"/>
                  <w:ind w:left="600"/>
                </w:pPr>
                <w:r>
                  <w:rPr>
                    <!--Entering my-element step two template-->
                    <!--Entering my-element step three template-->
                    <w:rFonts w:ascii="" w:hAnsi=""/>
                    <w:sz w:val="15"/>
                    <w:szCs w:val="15"/>
                    <w:lang w:val="EN-US" w:fareast="EN-US" w:bidi="AR-SA"/>
                  </w:rPr>
                  <w:t xml:space="preserve">Aucune disposition du présent Accord ou concernant celui-ci ne sera interprétée comme constituant une renonciation, expresse ou tacite, aux privilèges et immunités, quels qu’ils soient, de l’OIM.</w:t>
                </w:r>
              </w:p>
              <w:p>
                <w:pPr>
                  <w:jc w:val="both"/>
                </w:pPr>
                <w:r>
                  <w:rPr>
                    <!--Entering my-element step two template-->
                    <!--Entering my-element step three template-->
                    <w:rFonts w:ascii="" w:hAnsi=""/>
                    <w:sz w:val="15"/>
                    <w:szCs w:val="15"/>
                    <w:lang w:val="EN-US" w:fareast="EN-US" w:bidi="AR-SA"/>
                  </w:rPr>
                </w:r>
                <w:r>
                  <w:rPr>
                    <w:rFonts w:ascii="" w:hAnsi=""/>
                    <w:sz w:val="15"/>
                    <w:szCs w:val="15"/>
                    <w:lang w:val="EN-US" w:fareast="EN-US" w:bidi="AR-SA"/>
                    <w:b/>
                    <w:rFonts w:ascii="" w:hAnsi=""/>
                    <w:sz w:val="15"/>
                    <w:szCs w:val="15"/>
                    <w:lang w:val="EN-US" w:fareast="EN-US" w:bidi="AR-SA"/>
                  </w:rPr>
                  <w:t xml:space="preserve">18.     Assurance et indemnisation</w:t>
                </w:r>
                <w:r>
                  <w:rPr>
                    <w:rFonts w:ascii="" w:hAnsi=""/>
                    <w:sz w:val="15"/>
                    <w:szCs w:val="15"/>
                    <w:lang w:val="EN-US" w:fareast="EN-US" w:bidi="AR-SA"/>
                  </w:rPr>
                </w:r>
              </w:p>
              <w:p>
                <w:pPr>
                  <w:jc w:val="both"/>
                  <w:ind w:left="600"/>
                </w:pPr>
                <w:r>
                  <w:rPr>
                    <!--Entering my-element step two template-->
                    <!--Entering my-element step three template-->
                    <w:rFonts w:ascii="" w:hAnsi=""/>
                    <w:sz w:val="15"/>
                    <w:szCs w:val="15"/>
                    <w:lang w:val="EN-US" w:fareast="EN-US" w:bidi="AR-SA"/>
                  </w:rPr>
                  <w:t xml:space="preserve">18.1.       Le Fournisseur doit à tout moment défendre, indemniser et mettre hors de cause l’OIM, ses fonctionnaires, employés et agents contre tous les préjudices, coûts, dommages et dépenses (y compris les honoraires d’avocat et les frais de justice), et toutes les réclamations, poursuites, actions en justice, exigences et obligations, de quelque nature que ce soit, qui résulteraient d’omissions ou d’actes de la part du Fournisseur ou de ses employés, collaborateurs, agents ou sous-traitants dans l’exécution du présent accord. L’OIM notifiera sans délai au Fournisseur toute réclamation écrite, tout préjudice ou toute revendication dont celui-ci se serait rendu responsable au titre de la présente clause.</w:t>
                </w:r>
              </w:p>
              <w:p>
                <w:pPr>
                  <w:jc w:val="both"/>
                  <w:ind w:left="600"/>
                </w:pPr>
                <w:r>
                  <w:rPr>
                    <!--Entering my-element step two template-->
                    <!--Entering my-element step three template-->
                    <w:rFonts w:ascii="" w:hAnsi=""/>
                    <w:sz w:val="15"/>
                    <w:szCs w:val="15"/>
                    <w:lang w:val="EN-US" w:fareast="EN-US" w:bidi="AR-SA"/>
                  </w:rPr>
                  <w:t xml:space="preserve">18.2.       Cette indemnisation ne s’éteint pas à l’expiration ou à la résiliation du présent Accord.</w:t>
                </w:r>
              </w:p>
              <w:p>
                <w:pPr>
                  <w:jc w:val="both"/>
                  <w:ind w:left="600"/>
                </w:pPr>
                <w:r>
                  <w:rPr>
                    <!--Entering my-element step two template-->
                    <!--Entering my-element step three template-->
                    <w:rFonts w:ascii="" w:hAnsi=""/>
                    <w:sz w:val="15"/>
                    <w:szCs w:val="15"/>
                    <w:lang w:val="EN-US" w:fareast="EN-US" w:bidi="AR-SA"/>
                  </w:rPr>
                  <w:t xml:space="preserve">18.3.     Le Fournisseur veillera à ce que les Marchandises fournies au titre du présent Accord soient intégralement assurées, dans une monnaie librement convertible, contre toute perte ou tout dommage jusqu’au point de livraison. D’autres exigences en matière d’assurance pourront être énoncées dans les spécifications techniques.  </w:t>
                </w:r>
              </w:p>
              <w:p>
                <w:pPr>
                  <w:jc w:val="both"/>
                </w:pPr>
                <w:r>
                  <w:rPr>
                    <!--Entering my-element step two template-->
                    <!--Entering my-element step three template-->
                    <w:rFonts w:ascii="" w:hAnsi=""/>
                    <w:sz w:val="15"/>
                    <w:szCs w:val="15"/>
                    <w:lang w:val="EN-US" w:fareast="EN-US" w:bidi="AR-SA"/>
                  </w:rPr>
                </w:r>
                <w:r>
                  <w:rPr>
                    <w:rFonts w:ascii="" w:hAnsi=""/>
                    <w:sz w:val="15"/>
                    <w:szCs w:val="15"/>
                    <w:lang w:val="EN-US" w:fareast="EN-US" w:bidi="AR-SA"/>
                    <w:b/>
                    <w:rFonts w:ascii="" w:hAnsi=""/>
                    <w:sz w:val="15"/>
                    <w:szCs w:val="15"/>
                    <w:lang w:val="EN-US" w:fareast="EN-US" w:bidi="AR-SA"/>
                  </w:rPr>
                  <w:t xml:space="preserve">19.     Renonciation</w:t>
                </w:r>
                <w:r>
                  <w:rPr>
                    <w:rFonts w:ascii="" w:hAnsi=""/>
                    <w:sz w:val="15"/>
                    <w:szCs w:val="15"/>
                    <w:lang w:val="EN-US" w:fareast="EN-US" w:bidi="AR-SA"/>
                  </w:rPr>
                </w:r>
              </w:p>
              <w:p>
                <w:pPr>
                  <w:jc w:val="both"/>
                  <w:ind w:left="600"/>
                </w:pPr>
                <w:r>
                  <w:rPr>
                    <!--Entering my-element step two template-->
                    <!--Entering my-element step three template-->
                    <w:rFonts w:ascii="" w:hAnsi=""/>
                    <w:sz w:val="15"/>
                    <w:szCs w:val="15"/>
                    <w:lang w:val="EN-US" w:fareast="EN-US" w:bidi="AR-SA"/>
                  </w:rPr>
                  <w:t xml:space="preserve">19.1.      L’incapacité de l’une ou l’autre Partie à exiger, à une ou plusieurs reprises, l’application stricte de l’une quelconque des dispositions du présent Accord ne constituera pas une renonciation au droit de faire appliquer lesdites dispositions à d’autres moments ou l’abandon de celui-ci. Ce droit restera maintenu et demeurera pleinement en vigueur.</w:t>
                </w:r>
              </w:p>
              <w:p>
                <w:pPr>
                  <w:jc w:val="both"/>
                </w:pPr>
                <w:r>
                  <w:rPr>
                    <!--Entering my-element step two template-->
                    <!--Entering my-element step three template-->
                    <w:rFonts w:ascii="" w:hAnsi=""/>
                    <w:sz w:val="15"/>
                    <w:szCs w:val="15"/>
                    <w:lang w:val="EN-US" w:fareast="EN-US" w:bidi="AR-SA"/>
                  </w:rPr>
                </w:r>
                <w:r>
                  <w:rPr>
                    <w:rFonts w:ascii="" w:hAnsi=""/>
                    <w:sz w:val="15"/>
                    <w:szCs w:val="15"/>
                    <w:lang w:val="EN-US" w:fareast="EN-US" w:bidi="AR-SA"/>
                    <w:b/>
                    <w:rFonts w:ascii="" w:hAnsi=""/>
                    <w:sz w:val="15"/>
                    <w:szCs w:val="15"/>
                    <w:lang w:val="EN-US" w:fareast="EN-US" w:bidi="AR-SA"/>
                  </w:rPr>
                  <w:t xml:space="preserve">20.     Résiliation et nouveau marché</w:t>
                </w:r>
                <w:r>
                  <w:rPr>
                    <w:rFonts w:ascii="" w:hAnsi=""/>
                    <w:sz w:val="15"/>
                    <w:szCs w:val="15"/>
                    <w:lang w:val="EN-US" w:fareast="EN-US" w:bidi="AR-SA"/>
                  </w:rPr>
                </w:r>
              </w:p>
              <w:p>
                <w:pPr>
                  <w:jc w:val="both"/>
                  <w:ind w:left="600"/>
                </w:pPr>
                <w:r>
                  <w:rPr>
                    <!--Entering my-element step two template-->
                    <!--Entering my-element step three template-->
                    <w:rFonts w:ascii="" w:hAnsi=""/>
                    <w:sz w:val="15"/>
                    <w:szCs w:val="15"/>
                    <w:lang w:val="EN-US" w:fareast="EN-US" w:bidi="AR-SA"/>
                  </w:rPr>
                  <w:t xml:space="preserve">20.1.       L’OIM pourra suspendre ou résilier le présent Accord, en tout ou partie, avec effet immédiat, après notification écrite au Fournisseur, si le mandat de l’OIM relatif à l’exécution de l’Accord, ou le financement de l’OIM dévolu à celui-ci, est réduit ou supprimé. L’Organisation pourra également suspendre ou résilier l’Accord sans motif moyennant un préavis écrit de 30 (trente) jours.</w:t>
                </w:r>
              </w:p>
              <w:p>
                <w:pPr>
                  <w:jc w:val="both"/>
                  <w:ind w:left="600"/>
                </w:pPr>
                <w:r>
                  <w:rPr>
                    <!--Entering my-element step two template-->
                    <!--Entering my-element step three template-->
                    <w:rFonts w:ascii="" w:hAnsi=""/>
                    <w:sz w:val="15"/>
                    <w:szCs w:val="15"/>
                    <w:lang w:val="EN-US" w:fareast="EN-US" w:bidi="AR-SA"/>
                  </w:rPr>
                  <w:t xml:space="preserve">20.2.       En cas de résiliation, l’OIM paiera uniquement pour les Marchandises fournies et les Services exécutés conformément au présent Accord, sauf accord contraire des Parties conclu par écrit. Le Fournisseur restituera à l’OIM tous les montants versés d’avance dans un délai de 7 (sept) jours à compter de l’avis de résiliation.</w:t>
                </w:r>
              </w:p>
              <w:p>
                <w:pPr>
                  <w:jc w:val="both"/>
                  <w:ind w:left="600"/>
                </w:pPr>
                <w:r>
                  <w:rPr>
                    <!--Entering my-element step two template-->
                    <!--Entering my-element step three template-->
                    <w:rFonts w:ascii="" w:hAnsi=""/>
                    <w:sz w:val="15"/>
                    <w:szCs w:val="15"/>
                    <w:lang w:val="EN-US" w:fareast="EN-US" w:bidi="AR-SA"/>
                  </w:rPr>
                  <w:t xml:space="preserve">20.3.       Si l’OIM résilie le présent Accord en tout ou partie à cause d’un manquement du Fournisseur, elle peut se procurer ailleurs des Marchandises similaires à celles qui font l’objet de l’Accord résilié. Les frais supplémentaires encourus par l’OIM pour l’acquisition de ces marchandises et pour l’enlèvement de tout ou partie des produits ou du matériel du Fournisseur dans les locaux de l’OIM ou d’autres lieux de livraison seront à la charge du Fournisseur, sauf si l’inexécution des obligations découlant du présent Accord est dûe à des causes indépendantes de sa volonté et non à une faute ou négligence de sa part.</w:t>
                </w:r>
              </w:p>
              <w:p>
                <w:pPr>
                  <w:jc w:val="both"/>
                  <w:ind w:left="600"/>
                </w:pPr>
                <w:r>
                  <w:rPr>
                    <!--Entering my-element step two template-->
                    <!--Entering my-element step three template-->
                    <w:rFonts w:ascii="" w:hAnsi=""/>
                    <w:sz w:val="15"/>
                    <w:szCs w:val="15"/>
                    <w:lang w:val="EN-US" w:fareast="EN-US" w:bidi="AR-SA"/>
                  </w:rPr>
                  <w:t xml:space="preserve">20.4.       En cas de résiliation, le Fournisseur renoncera à demander des dommages-intérêts, notamment pour la perte de bénéfices escomptés découlant de la résiliation.</w:t>
                </w:r>
              </w:p>
              <w:p>
                <w:pPr>
                  <w:jc w:val="both"/>
                  <w:ind w:left="600"/>
                </w:pPr>
                <w:r>
                  <w:rPr>
                    <!--Entering my-element step two template-->
                    <!--Entering my-element step three template-->
                    <w:rFonts w:ascii="" w:hAnsi=""/>
                    <w:sz w:val="15"/>
                    <w:szCs w:val="15"/>
                    <w:lang w:val="EN-US" w:fareast="EN-US" w:bidi="AR-SA"/>
                  </w:rPr>
                  <w:t xml:space="preserve">20.5.     En cas de suspension du présent Accord, l’OIM précisera par écrit l’étendue des activités et/ou des prestations suspendues. Tous les autres droits et obligations découlant du présent Accord resteront en vigueur durant la période de suspension. L’OIM informera le Fournisseur par écrit de la fin de la suspension et pourra modifier la date d’achèvement. Le Fournisseur ne pourra demander ou recevoir une quelconque rémunération ou indemnisation des coûts engagés durant la période de suspension de l’Accord.</w:t>
                </w:r>
              </w:p>
              <w:p>
                <w:pPr>
                  <w:jc w:val="both"/>
                </w:pPr>
                <w:r>
                  <w:rPr>
                    <!--Entering my-element step two template-->
                    <!--Entering my-element step three template-->
                    <w:rFonts w:ascii="" w:hAnsi=""/>
                    <w:sz w:val="15"/>
                    <w:szCs w:val="15"/>
                    <w:lang w:val="EN-US" w:fareast="EN-US" w:bidi="AR-SA"/>
                  </w:rPr>
                </w:r>
                <w:r>
                  <w:rPr>
                    <w:rFonts w:ascii="" w:hAnsi=""/>
                    <w:sz w:val="15"/>
                    <w:szCs w:val="15"/>
                    <w:lang w:val="EN-US" w:fareast="EN-US" w:bidi="AR-SA"/>
                    <w:b/>
                    <w:rFonts w:ascii="" w:hAnsi=""/>
                    <w:sz w:val="15"/>
                    <w:szCs w:val="15"/>
                    <w:lang w:val="EN-US" w:fareast="EN-US" w:bidi="AR-SA"/>
                  </w:rPr>
                  <w:t xml:space="preserve">21.     Utilisation de l’accord par une autre entité des Nations Unies  </w:t>
                </w:r>
                <w:r>
                  <w:rPr>
                    <w:rFonts w:ascii="" w:hAnsi=""/>
                    <w:sz w:val="15"/>
                    <w:szCs w:val="15"/>
                    <w:lang w:val="EN-US" w:fareast="EN-US" w:bidi="AR-SA"/>
                  </w:rPr>
                </w:r>
              </w:p>
              <w:p>
                <w:pPr>
                  <w:jc w:val="both"/>
                  <w:ind w:left="600"/>
                </w:pPr>
                <w:r>
                  <w:rPr>
                    <!--Entering my-element step two template-->
                    <!--Entering my-element step three template-->
                    <w:rFonts w:ascii="" w:hAnsi=""/>
                    <w:sz w:val="15"/>
                    <w:szCs w:val="15"/>
                    <w:lang w:val="EN-US" w:fareast="EN-US" w:bidi="AR-SA"/>
                  </w:rPr>
                  <w:t xml:space="preserve">Si une entité du système des Nations Unies souhaite solliciter, par son propre système de sous-traitance, des Services du même type, le Fournisseur de Services lui proposera lesdits Services à des conditions et tarifs non moins favorables que ceux fournis au titre du présent Accord. À cette fin, l’OIM est en droit de communiquer des informations relatives au présent Accord à toute autre entité du système des Nations Unies.</w:t>
                </w:r>
              </w:p>
              <w:p>
                <w:pPr>
                  <w:jc w:val="both"/>
                </w:pPr>
                <w:r>
                  <w:rPr>
                    <!--Entering my-element step two template-->
                    <!--Entering my-element step three template-->
                    <w:rFonts w:ascii="" w:hAnsi=""/>
                    <w:sz w:val="15"/>
                    <w:szCs w:val="15"/>
                    <w:lang w:val="EN-US" w:fareast="EN-US" w:bidi="AR-SA"/>
                  </w:rPr>
                </w:r>
                <w:r>
                  <w:rPr>
                    <w:rFonts w:ascii="" w:hAnsi=""/>
                    <w:sz w:val="15"/>
                    <w:szCs w:val="15"/>
                    <w:lang w:val="EN-US" w:fareast="EN-US" w:bidi="AR-SA"/>
                    <w:b/>
                    <w:rFonts w:ascii="" w:hAnsi=""/>
                    <w:sz w:val="15"/>
                    <w:szCs w:val="15"/>
                    <w:lang w:val="EN-US" w:fareast="EN-US" w:bidi="AR-SA"/>
                  </w:rPr>
                  <w:t xml:space="preserve">22.     Divisibilité</w:t>
                </w:r>
                <w:r>
                  <w:rPr>
                    <w:rFonts w:ascii="" w:hAnsi=""/>
                    <w:sz w:val="15"/>
                    <w:szCs w:val="15"/>
                    <w:lang w:val="EN-US" w:fareast="EN-US" w:bidi="AR-SA"/>
                  </w:rPr>
                </w:r>
              </w:p>
              <w:p>
                <w:pPr>
                  <w:jc w:val="both"/>
                  <w:ind w:left="600"/>
                </w:pPr>
                <w:r>
                  <w:rPr>
                    <!--Entering my-element step two template-->
                    <!--Entering my-element step three template-->
                    <w:rFonts w:ascii="" w:hAnsi=""/>
                    <w:sz w:val="15"/>
                    <w:szCs w:val="15"/>
                    <w:lang w:val="EN-US" w:fareast="EN-US" w:bidi="AR-SA"/>
                  </w:rPr>
                  <w:t xml:space="preserve">Si une partie du présent Accord est déclarée nulle ou inapplicable, elle en sera supprimée. Les parties restantes demeureront pleinement en vigueur.</w:t>
                </w:r>
              </w:p>
              <w:p>
                <w:pPr>
                  <w:jc w:val="both"/>
                </w:pPr>
                <w:r>
                  <w:rPr>
                    <!--Entering my-element step two template-->
                    <!--Entering my-element step three template-->
                    <w:rFonts w:ascii="" w:hAnsi=""/>
                    <w:sz w:val="15"/>
                    <w:szCs w:val="15"/>
                    <w:lang w:val="EN-US" w:fareast="EN-US" w:bidi="AR-SA"/>
                  </w:rPr>
                </w:r>
                <w:r>
                  <w:rPr>
                    <w:rFonts w:ascii="" w:hAnsi=""/>
                    <w:sz w:val="15"/>
                    <w:szCs w:val="15"/>
                    <w:lang w:val="EN-US" w:fareast="EN-US" w:bidi="AR-SA"/>
                    <w:b/>
                    <w:rFonts w:ascii="" w:hAnsi=""/>
                    <w:sz w:val="15"/>
                    <w:szCs w:val="15"/>
                    <w:lang w:val="EN-US" w:fareast="EN-US" w:bidi="AR-SA"/>
                  </w:rPr>
                  <w:t xml:space="preserve">23.     Intégralité</w:t>
                </w:r>
                <w:r>
                  <w:rPr>
                    <w:rFonts w:ascii="" w:hAnsi=""/>
                    <w:sz w:val="15"/>
                    <w:szCs w:val="15"/>
                    <w:lang w:val="EN-US" w:fareast="EN-US" w:bidi="AR-SA"/>
                  </w:rPr>
                </w:r>
              </w:p>
              <w:p>
                <w:pPr>
                  <w:jc w:val="both"/>
                  <w:ind w:left="600"/>
                </w:pPr>
                <w:r>
                  <w:rPr>
                    <!--Entering my-element step two template-->
                    <!--Entering my-element step three template-->
                    <w:rFonts w:ascii="" w:hAnsi=""/>
                    <w:sz w:val="15"/>
                    <w:szCs w:val="15"/>
                    <w:lang w:val="EN-US" w:fareast="EN-US" w:bidi="AR-SA"/>
                  </w:rPr>
                  <w:t xml:space="preserve">Le présent Accord et ses annexes traduisent l’intégralité de ce qui a été convenu entre les Parties et remplacent tous les éventuels accords précédents concernant l’objet du présent Accord.  </w:t>
                </w:r>
              </w:p>
              <w:p>
                <w:pPr>
                  <w:jc w:val="both"/>
                </w:pPr>
                <w:r>
                  <w:rPr>
                    <!--Entering my-element step two template-->
                    <!--Entering my-element step three template-->
                    <w:rFonts w:ascii="" w:hAnsi=""/>
                    <w:sz w:val="15"/>
                    <w:szCs w:val="15"/>
                    <w:lang w:val="EN-US" w:fareast="EN-US" w:bidi="AR-SA"/>
                  </w:rPr>
                </w:r>
                <w:r>
                  <w:rPr>
                    <w:rFonts w:ascii="" w:hAnsi=""/>
                    <w:sz w:val="15"/>
                    <w:szCs w:val="15"/>
                    <w:lang w:val="EN-US" w:fareast="EN-US" w:bidi="AR-SA"/>
                    <w:b/>
                    <w:rFonts w:ascii="" w:hAnsi=""/>
                    <w:sz w:val="15"/>
                    <w:szCs w:val="15"/>
                    <w:lang w:val="EN-US" w:fareast="EN-US" w:bidi="AR-SA"/>
                  </w:rPr>
                  <w:t xml:space="preserve">24.     Clauses finales</w:t>
                </w:r>
                <w:r>
                  <w:rPr>
                    <w:rFonts w:ascii="" w:hAnsi=""/>
                    <w:sz w:val="15"/>
                    <w:szCs w:val="15"/>
                    <w:lang w:val="EN-US" w:fareast="EN-US" w:bidi="AR-SA"/>
                  </w:rPr>
                </w:r>
              </w:p>
              <w:p>
                <w:pPr>
                  <w:jc w:val="both"/>
                  <w:ind w:left="600"/>
                </w:pPr>
                <w:r>
                  <w:rPr>
                    <!--Entering my-element step two template-->
                    <!--Entering my-element step three template-->
                    <w:rFonts w:ascii="" w:hAnsi=""/>
                    <w:sz w:val="15"/>
                    <w:szCs w:val="15"/>
                    <w:lang w:val="EN-US" w:fareast="EN-US" w:bidi="AR-SA"/>
                  </w:rPr>
                  <w:t xml:space="preserve">24.1.      Le présent Accord prendra effet à la signature des deux Parties. Il restera en vigueur jusqu’à ce que les Parties aient satisfait à toutes les obligations qui en découlent, sauf en cas de résiliation anticipée conformément à l’Article relatif à la résiliation.</w:t>
                </w:r>
              </w:p>
              <w:p>
                <w:pPr>
                  <w:jc w:val="both"/>
                  <w:ind w:left="600"/>
                </w:pPr>
                <w:r>
                  <w:rPr>
                    <!--Entering my-element step two template-->
                    <!--Entering my-element step three template-->
                    <w:rFonts w:ascii="" w:hAnsi=""/>
                    <w:sz w:val="15"/>
                    <w:szCs w:val="15"/>
                    <w:lang w:val="EN-US" w:fareast="EN-US" w:bidi="AR-SA"/>
                  </w:rPr>
                  <w:t xml:space="preserve">24.2.      Toute modification apportée aux Conditions Générales énoncées dans le présent document devra faire l’objet d’un avenant au présent Accord. </w:t>
                </w:r>
              </w:p>
              <w:sectPr>
                <w:pgSz w:w="12240" w:h="15840" w:code="1"/>
                <w:pgMar w:top="576" w:right="1152" w:bottom="864" w:left="1152" w:header="562" w:footer="562" w:gutter="0"/>
                <w:cols w:space="720"/>
                <w:titlePg/>
              </w:sectPr>
            </w:sdtContent>
          </w:sdt>
        </w:body>
      </w:document>
    </pkg:xmlData>
  </pkg:part>
</pkg:package>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dt="uuid:C2F41010-65B3-11d1-A29F-00AA00C14882" xmlns:fo="http://www.w3.org/1999/XSL/Format" xmlns:pkg="http://schemas.microsoft.com/office/2006/xmlPackage" xmlns:xdofo="http://xmlns.oracle.com/oxp/fo/extension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dt="uuid:C2F41010-65B3-11d1-A29F-00AA00C14882" xmlns:fo="http://www.w3.org/1999/XSL/Format" xmlns:pkg="http://schemas.microsoft.com/office/2006/xmlPackage" xmlns:xdofo="http://xmlns.oracle.com/oxp/fo/extension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cid="http://schemas.microsoft.com/office/word/2016/wordml/cid" xmlns:xdofo="http://xmlns.oracle.com/oxp/fo/extensions" xmlns:fo="http://www.w3.org/1999/XSL/Format" xmlns:ve="http://schemas.openxmlformats.org/markup-compatibility/2006" xmlns:pkg="http://schemas.microsoft.com/office/2006/xmlPackage" xmlns:dt="uuid:C2F41010-65B3-11d1-A29F-00AA00C14882">
  <w:abstractNum w:abstractNumId="0">
    <w:lsid w:val="264D1C31"/>
    <w:plt w:val="HybridMultilevel"/>
    <w:tmpl w:val="920AEBDE"/>
    <w:lvl w:ilvl="0">
      <w:start w:val="1"/>
      <w:numFmt w:val="decimal"/>
      <w:pStyle w:val="Heading1"/>
      <w:lvlJc w:val="left"/>
      <w:pPr>
        <w:tabs>
          <w:tab w:val="list" w:pos="432"/>
        </w:tabs>
        <w:ind w:left="432" w:hanging="432"/>
      </w:pPr>
      <w:rPr>
        <w:rFonts w:hint="default"/>
      </w:rPr>
    </w:lvl>
    <w:lvl w:ilvl="1">
      <w:start w:val="1"/>
      <w:pStyle w:val="Heading2"/>
      <w:lvlJc w:val="left"/>
      <w:pPr>
        <w:tabs>
          <w:tab w:val="list" w:pos="576"/>
        </w:tabs>
        <w:ind w:left="576" w:hanging="576"/>
      </w:pPr>
      <w:rPr>
        <w:rFonts w:hint="default"/>
      </w:rPr>
    </w:lvl>
    <w:lvl w:ilvl="2">
      <w:start w:val="1"/>
      <w:pStyle w:val="Heading3"/>
      <w:pPr>
        <w:tabs>
          <w:tab w:val="list" w:pos="720"/>
        </w:tabs>
        <w:ind w:left="720" w:hanging="720"/>
      </w:pPr>
      <w:rPr>
        <w:rFonts w:hint="default"/>
      </w:rPr>
    </w:lvl>
    <w:lvl w:ilvl="3">
      <w:start w:val="1"/>
      <w:pStyle w:val="Heading4"/>
      <w:lvlJc w:val="left"/>
      <w:pPr>
        <w:tabs>
          <w:tab w:val="list" w:pos="864"/>
        </w:tabs>
        <w:ind w:left="864" w:hanging="864"/>
      </w:pPr>
      <w:rPr>
        <w:rFonts w:hint="default"/>
      </w:rPr>
    </w:lvl>
    <w:lvl w:ilvl="4">
      <w:start w:val="1"/>
      <w:pStyle w:val="Heading5"/>
      <w:lvlJc w:val="left"/>
      <w:pPr>
        <w:tabs>
          <w:tab w:val="list" w:pos="1008"/>
        </w:tabs>
        <w:ind w:left="1008" w:hanging="1008"/>
      </w:pPr>
      <w:rPr>
        <w:rFonts w:hint="default"/>
      </w:rPr>
    </w:lvl>
    <w:lvl w:ilvl="5">
      <w:start w:val="1"/>
      <w:pStyle w:val="Heading6"/>
      <w:lvlText w:val="%6."/>
      <w:lvlJc w:val="left"/>
      <w:pPr>
        <w:tabs>
          <w:tab w:val="list" w:pos="1152"/>
        </w:tabs>
        <w:ind w:left="1152" w:hanging="1152"/>
      </w:pPr>
      <w:rPr>
        <w:rFonts w:hint="default"/>
      </w:rPr>
    </w:lvl>
    <w:lvl w:ilvl="6">
      <w:start w:val="1"/>
      <w:pStyle w:val="Heading7"/>
      <w:lvlText w:val="%7."/>
      <w:lvlJc w:val="left"/>
      <w:pPr>
        <w:tabs>
          <w:tab w:val="list" w:pos="1296"/>
        </w:tabs>
        <w:ind w:left="1296" w:hanging="1296"/>
      </w:pPr>
      <w:rPr>
        <w:rFonts w:hint="default"/>
      </w:rPr>
    </w:lvl>
    <w:lvl w:ilvl="7">
      <w:start w:val="1"/>
      <w:pStyle w:val="Heading8"/>
      <w:lvlText w:val="%8."/>
      <w:lvlJc w:val="left"/>
      <w:pPr>
        <w:tabs>
          <w:tab w:val="list" w:pos="1440"/>
        </w:tabs>
        <w:ind w:left="1440" w:hanging="1440"/>
      </w:pPr>
      <w:rPr>
        <w:rFonts w:hint="default"/>
      </w:rPr>
    </w:lvl>
    <w:lvl w:ilvl="8">
      <w:start w:val="1"/>
      <w:pStyle w:val="Heading9"/>
      <w:lvlText w:val="%9."/>
      <w:lvlJc w:val="left"/>
      <w:pPr>
        <w:tabs>
          <w:tab w:val="list" w:pos="1584"/>
        </w:tabs>
        <w:ind w:left="1584" w:hanging="1584"/>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ve="http://schemas.openxmlformats.org/markup-compatibility/2006" xmlns:dt="uuid:C2F41010-65B3-11d1-A29F-00AA00C14882" xmlns:fo="http://www.w3.org/1999/XSL/Format" xmlns:pkg="http://schemas.microsoft.com/office/2006/xmlPackage" xmlns:wne="http://schemas.microsoft.com/office/word/2006/wordml" xmlns:xdofo="http://xmlns.oracle.com/oxp/fo/extensions" xmlns:wp="http://schemas.openxmlformats.org/drawingml/2006/wordprocessingDrawing">
  <w:zoom w:percent="100"/>
  <w:view w:val="print"/>
  <w:showXMLElements w:val="off"/>
  <w:trackRevisions/>
  <w:documentProtection w:edit="trackedChanges" w:enforcement="0"/>
  <w:defaultTabStop w:val="720"/>
  <w:characterSpacingControl w:val="doNotCompress"/>
  <w:validateAgainstSchema w:val="off"/>
  <w:saveInvalidXML w:val="off"/>
  <w:compat/>
</w:settings>
</file>

<file path=word/styles.xml><?xml version="1.0" encoding="utf-8"?>
<w:styles xmlns:r="http://schemas.openxmlformats.org/officeDocument/2006/relationships" xmlns:w="http://schemas.openxmlformats.org/wordprocessingml/2006/main" xmlns:ve="http://schemas.openxmlformats.org/markup-compatibility/2006" xmlns:v="urn:schemas-microsoft-com:vml" xmlns:dt="uuid:C2F41010-65B3-11d1-A29F-00AA00C14882"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w:versionOfBuiltInStylenames w:val="4"/>
  <w:latentStyles w:defLockedState="off" w:latentStyleCount="156"/>
  <w:style w:type="paragraph" w:default="1" w:styleId="Normal">
    <w:name w:val="Normal"/>
    <w:qFormat/>
    <w:rsid w:val="00344AE4"/>
    <w:pPr>
      <w:jc w:val="left"/>
    </w:pPr>
    <w:rPr>
      <w:rFonts w:ascii="Arial Narrow" w:eastAsiaTheme="majorEastAsia" w:hAnsi="Arial Narrow" w:cstheme="majorBidi"/>
      <w:sz w:val="20"/>
      <w:szCs w:val="20"/>
      <w:lang w:val="EN-US" w:fareast="EN-US" w:bidi="AR-SA"/>
    </w:rPr>
  </w:style>
  <w:style w:type="paragraph" w:styleId="ClauseTextLevel2">
    <w:name w:val="Clause Text Level 2"/>
    <w:qFormat/>
    <w:rsid w:val="00344AE4"/>
    <w:pPr>
      <w:jc w:val="both"/>
    </w:pPr>
    <w:rPr>
      <w:rFonts w:ascii="" w:eastAsiaTheme="majorEastAsia" w:hAnsi="" w:cstheme="majorBidi"/>
      <w:sz w:val="20"/>
      <w:szCs w:val="20"/>
      <w:lang w:val="EN-US" w:fareast="EN-US" w:bidi="AR-SA"/>
    </w:rPr>
  </w:style>
  <w:style w:type="paragraph" w:styleId="ClauseTextLevel3">
    <w:name w:val="Clause Text Level 3"/>
    <w:qFormat/>
    <w:rsid w:val="00344AE4"/>
    <w:pPr>
      <w:jc w:val="both"/>
    </w:pPr>
    <w:rPr>
      <w:rFonts w:ascii="" w:eastAsiaTheme="majorEastAsia" w:hAnsi="" w:cstheme="majorBidi"/>
      <w:sz w:val="20"/>
      <w:szCs w:val="20"/>
      <w:lang w:val="EN-US" w:fareast="EN-US" w:bidi="AR-SA"/>
    </w:rPr>
  </w:style>
  <w:style w:type="paragraph" w:styleId="ClauseTextLevel4">
    <w:name w:val="Clause Text Level 4"/>
    <w:qFormat/>
    <w:rsid w:val="00344AE4"/>
    <w:pPr>
      <w:jc w:val="both"/>
    </w:pPr>
    <w:rPr>
      <w:rFonts w:ascii="" w:eastAsiaTheme="majorEastAsia" w:hAnsi="" w:cstheme="majorBidi"/>
      <w:sz w:val="20"/>
      <w:szCs w:val="20"/>
      <w:lang w:val="EN-US" w:fareast="EN-US" w:bidi="AR-SA"/>
    </w:rPr>
  </w:style>
  <w:style w:type="paragraph" w:styleId="ClauseTextLevel5">
    <w:name w:val="Clause Text Level 5"/>
    <w:qFormat/>
    <w:rsid w:val="00344AE4"/>
    <w:pPr>
      <w:jc w:val="both"/>
    </w:pPr>
    <w:rPr>
      <w:rFonts w:ascii="" w:eastAsiaTheme="majorEastAsia" w:hAnsi="" w:cstheme="majorBidi"/>
      <w:sz w:val="20"/>
      <w:szCs w:val="20"/>
      <w:lang w:val="EN-US" w:fareast="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5907"/>
    <w:pPr>
      <w:contextualSpacing/>
    </w:pPr>
  </w:style>
  <w:style w:type="paragraph" w:styleId="Heading1">
    <w:name w:val="heading 1"/>
    <w:basedOn w:val="Normal"/>
    <w:next w:val="ClauseTitle2"/>
    <w:link w:val="Heading1Char"/>
    <w:uiPriority w:val="9"/>
    <w:qFormat/>
    <w:rsid w:val="009A2891"/>
    <w:pPr>
      <w:keepNext/>
      <w:keepLines/>
      <w:jc w:val="left"/>
      <w:spacing w:before="120"/>
      <w:outlineLvl w:val="0"/>
    </w:pPr>
    <w:rPr>
      <w:rFonts w:ascii="Arial Narrow" w:eastAsiaTheme="majorEastAsia" w:hAnsi="Arial Narrow" w:cstheme="majorBidi"/>
      <w:sz w:val="24"/>
      <w:szCs w:val="24"/>
      <w:b/>
      <w:bCs/>
      <w:keepNext/>
    </w:rPr>
  </w:style>
  <w:style w:type="paragraph" w:styleId="Heading2">
    <w:name w:val="heading 2"/>
    <w:basedOn w:val="Normal"/>
    <w:next w:val="ClauseTitle3"/>
    <w:link w:val="Heading2Char"/>
    <w:uiPriority w:val="9"/>
    <w:unhideWhenUsed/>
    <w:qFormat/>
    <w:rsid w:val="00482893"/>
    <w:pPr>
      <w:keepNext/>
      <w:keepLines/>
      <w:spacing w:before="120"/>
      <w:jc w:val="left"/>
      <w:outlineLvl w:val="1"/>
    </w:pPr>
    <w:rPr>
      <w:rFonts w:ascii="Arial Narrow" w:eastAsiaTheme="majorEastAsia" w:hAnsi="Arial Narrow" w:cstheme="majorBidi"/>
      <w:sz w:val="24"/>
      <w:szCs w:val="24"/>
      <w:b/>
      <w:bCs/>
      <w:keepNext/>
    </w:rPr>
  </w:style>
  <w:style w:type="paragraph" w:styleId="Heading3">
    <w:name w:val="heading 3"/>
    <w:basedOn w:val="Normal"/>
    <w:next w:val="ClauseTitle4"/>
    <w:link w:val="Heading3Char"/>
    <w:uiPriority w:val="9"/>
    <w:unhideWhenUsed/>
    <w:qFormat/>
    <w:rsid w:val="00482893"/>
    <w:pPr>
      <w:keepNext/>
      <w:keepLines/>
      <w:spacing w:before="120"/>
      <w:jc w:val="left"/>
      <w:outlineLvl w:val="2"/>
    </w:pPr>
    <w:rPr>
      <w:rFonts w:ascii="Arial Narrow" w:eastAsiaTheme="majorEastAsia" w:hAnsi="Arial Narrow" w:cstheme="majorBidi"/>
      <w:sz w:val="24"/>
      <w:szCs w:val="24"/>
      <w:b/>
      <w:bCs/>
      <w:keepNext/>
    </w:rPr>
  </w:style>
  <w:style w:type="paragraph" w:styleId="Heading4">
    <w:name w:val="heading 4"/>
    <w:basedOn w:val="Normal"/>
    <w:next w:val="ClauseTitle5"/>
    <w:link w:val="Heading4Char"/>
    <w:uiPriority w:val="9"/>
    <w:unhideWhenUsed/>
    <w:qFormat/>
    <w:rsid w:val="00482893"/>
    <w:pPr>
      <w:keepNext/>
      <w:keepLines/>
      <w:spacing w:before="120"/>
      <w:jc w:val="left"/>
      <w:outlineLvl w:val="3"/>
    </w:pPr>
    <w:rPr>
      <w:rFonts w:ascii="Arial Narrow" w:eastAsiaTheme="majorEastAsia" w:hAnsi="Arial Narrow" w:cstheme="majorBidi"/>
      <w:sz w:val="24"/>
      <w:szCs w:val="24"/>
      <w:b/>
      <w:bCs/>
      <w:keepNext/>
    </w:rPr>
  </w:style>
  <w:style w:type="paragraph" w:styleId="Heading5">
    <w:name w:val="heading 5"/>
    <w:basedOn w:val="Normal"/>
    <w:next w:val="ClauseTitle6"/>
    <w:link w:val="Heading5Char"/>
    <w:uiPriority w:val="9"/>
    <w:unhideWhenUsed/>
    <w:qFormat/>
    <w:rsid w:val="00482893"/>
    <w:pPr>
      <w:keepNext/>
      <w:keepLines/>
      <w:spacing w:before="120"/>
      <w:outlineLvl w:val="4"/>
    </w:pPr>
    <w:rPr>
      <w:rFonts w:ascii="Arial Narrow" w:eastAsiaTheme="majorEastAsia" w:hAnsi="Arial Narrow" w:cstheme="majorBidi"/>
      <w:sz w:val="24"/>
      <w:szCs w:val="24"/>
      <w:b/>
      <w:bCs/>
      <w:keepNext/>
    </w:rPr>
  </w:style>
  <w:style w:type="paragraph" w:styleId="Heading6">
    <w:name w:val="heading 6"/>
    <w:basedOn w:val="Normal"/>
    <w:next w:val="ClauseTitle7"/>
    <w:link w:val="Heading6Char"/>
    <w:uiPriority w:val="9"/>
    <w:unhideWhenUsed/>
    <w:qFormat/>
    <w:rsid w:val="00482893"/>
    <w:pPr>
      <w:keepNext/>
      <w:keepLines/>
      <w:spacing w:before="120"/>
      <w:outlineLvl w:val="5"/>
    </w:pPr>
    <w:rPr>
      <w:rFonts w:ascii="Arial Narrow" w:eastAsiaTheme="majorEastAsia" w:hAnsi="Arial Narrow" w:cstheme="majorBidi"/>
      <w:sz w:val="24"/>
      <w:szCs w:val="24"/>
      <w:b/>
      <w:bCs/>
      <w:keepNext/>
    </w:rPr>
  </w:style>
  <w:style w:type="paragraph" w:styleId="Heading7">
    <w:name w:val="heading 7"/>
    <w:basedOn w:val="Normal"/>
    <w:next w:val="ClauseTitle8"/>
    <w:link w:val="Heading7Char"/>
    <w:uiPriority w:val="9"/>
    <w:unhideWhenUsed/>
    <w:qFormat/>
    <w:rsid w:val="00482893"/>
    <w:pPr>
      <w:keepNext/>
      <w:keepLines/>
      <w:spacing w:before="120"/>
      <w:outlineLvl w:val="6"/>
    </w:pPr>
    <w:rPr>
      <w:rFonts w:ascii="Arial Narrow" w:eastAsiaTheme="majorEastAsia" w:hAnsi="Arial Narrow" w:cstheme="majorBidi"/>
      <w:sz w:val="24"/>
      <w:szCs w:val="24"/>
      <w:b/>
      <w:bCs/>
      <w:keepNext/>
    </w:rPr>
  </w:style>
  <w:style w:type="paragraph" w:styleId="Heading8">
    <w:name w:val="heading 8"/>
    <w:basedOn w:val="Normal"/>
    <w:next w:val="ClauseTitle9"/>
    <w:link w:val="Heading8Char"/>
    <w:uiPriority w:val="9"/>
    <w:unhideWhenUsed/>
    <w:qFormat/>
    <w:rsid w:val="00482893"/>
    <w:pPr>
      <w:keepNext/>
      <w:keepLines/>
      <w:spacing w:before="120"/>
      <w:outlineLvl w:val="7"/>
    </w:pPr>
    <w:rPr>
      <w:rFonts w:ascii="Arial Narrow" w:eastAsiaTheme="majorEastAsia" w:hAnsi="Arial Narrow" w:cstheme="majorBidi"/>
      <w:sz w:val="24"/>
      <w:szCs w:val="24"/>
      <w:b/>
      <w:bCs/>
      <w:keepNext/>
    </w:rPr>
  </w:style>
  <w:style w:type="paragraph" w:styleId="Heading9">
    <w:name w:val="heading 9"/>
    <w:basedOn w:val="Normal"/>
    <w:next w:val="Heading9"/>
    <w:link w:val="Heading9Char"/>
    <w:uiPriority w:val="9"/>
    <w:unhideWhenUsed/>
    <w:qFormat/>
    <w:rsid w:val="00482893"/>
    <w:pPr>
      <w:keepNext/>
      <w:keepLines/>
      <w:spacing w:before="120"/>
      <w:outlineLvl w:val="8"/>
    </w:pPr>
    <w:rPr>
      <w:rFonts w:ascii="Arial Narrow" w:eastAsiaTheme="majorEastAsia" w:hAnsi="Arial Narrow" w:cstheme="majorBidi"/>
      <w:sz w:val="24"/>
      <w:szCs w:val="24"/>
      <w:b/>
      <w:bCs/>
      <w:keepNext/>
    </w:rPr>
  </w:style>
  <w:style w:type="paragraph" w:customStyle="1" w:styleId="ClauseTitle2">
    <w:name w:val="ClauseTitle2"/>
    <w:basedOn w:val="Heading2"/>
    <w:next w:val="ClauseTextLevel2"/>
    <w:qFormat/>
    <w:pPr/>
    <w:rPr>
      <w:rFonts w:ascii="Arial Narrow" w:eastAsiaTheme="majorEastAsia" w:hAnsi="Arial Narrow" w:cstheme="majorBidi"/>
      <w:sz w:val="22"/>
      <w:szCs w:val="22"/>
      <w:b/>
      <w:bCs/>
    </w:rPr>
    <w:rsid w:val="003952C0"/>
  </w:style>
  <w:style w:type="paragraph" w:customStyle="1" w:styleId="ClauseTitle3">
    <w:name w:val="ClauseTitle3"/>
    <w:basedOn w:val="Heading3"/>
    <w:next w:val="ClauseTextLevel3"/>
    <w:qFormat/>
    <w:pPr/>
    <w:rPr>
      <w:rFonts w:ascii="Arial Narrow" w:eastAsiaTheme="majorEastAsia" w:hAnsi="Arial Narrow" w:cstheme="majorBidi"/>
      <w:sz w:val="22"/>
      <w:szCs w:val="22"/>
      <w:b/>
      <w:bCs/>
    </w:rPr>
    <w:rsid w:val="003952C0"/>
  </w:style>
  <w:style w:type="paragraph" w:customStyle="1" w:styleId="ClauseTitle4">
    <w:name w:val="ClauseTitle4"/>
    <w:basedOn w:val="Heading4"/>
    <w:next w:val="ClauseTextLevel4"/>
    <w:qFormat/>
    <w:pPr/>
    <w:rPr>
      <w:rFonts w:ascii="Arial Narrow" w:eastAsiaTheme="majorEastAsia" w:hAnsi="Arial Narrow" w:cstheme="majorBidi"/>
      <w:sz w:val="22"/>
      <w:szCs w:val="22"/>
      <w:b/>
      <w:bCs/>
    </w:rPr>
    <w:rsid w:val="003952C0"/>
  </w:style>
  <w:style w:type="paragraph" w:customStyle="1" w:styleId="ClauseTitle5">
    <w:name w:val="ClauseTitle5"/>
    <w:basedOn w:val="Heading5"/>
    <w:next w:val="ClauseTextLevel4"/>
    <w:qFormat/>
    <w:pPr/>
    <w:rPr>
      <w:rFonts w:ascii="Arial Narrow" w:eastAsiaTheme="majorEastAsia" w:hAnsi="Arial Narrow" w:cstheme="majorBidi"/>
      <w:sz w:val="22"/>
      <w:szCs w:val="22"/>
      <w:b/>
      <w:bCs/>
    </w:rPr>
    <w:rsid w:val="003952C0"/>
  </w:style>
  <w:style w:type="paragraph" w:customStyle="1" w:styleId="ClauseTitle6">
    <w:name w:val="ClauseTitle6"/>
    <w:basedOn w:val="Heading6"/>
    <w:next w:val="Normal"/>
    <w:qFormat/>
    <w:pPr/>
    <w:rPr>
      <w:rFonts w:ascii="Arial Narrow" w:eastAsiaTheme="majorEastAsia" w:hAnsi="Arial Narrow" w:cstheme="majorBidi"/>
      <w:sz w:val="22"/>
      <w:szCs w:val="22"/>
      <w:b/>
      <w:bCs/>
    </w:rPr>
    <w:rsid w:val="003952C0"/>
  </w:style>
  <w:style w:type="paragraph" w:customStyle="1" w:styleId="ClauseTitle7">
    <w:name w:val="ClauseTitle7"/>
    <w:basedOn w:val="Heading7"/>
    <w:next w:val="Normal"/>
    <w:qFormat/>
    <w:pPr/>
    <w:rPr>
      <w:rFonts w:ascii="Arial Narrow" w:eastAsiaTheme="majorEastAsia" w:hAnsi="Arial Narrow" w:cstheme="majorBidi"/>
      <w:sz w:val="22"/>
      <w:szCs w:val="22"/>
      <w:b/>
      <w:bCs/>
    </w:rPr>
    <w:rsid w:val="003952C0"/>
  </w:style>
  <w:style w:type="paragraph" w:customStyle="1" w:styleId="ClauseTitle8">
    <w:name w:val="ClauseTitle8"/>
    <w:basedOn w:val="Heading8"/>
    <w:next w:val="Normal"/>
    <w:qFormat/>
    <w:pPr/>
    <w:rPr>
      <w:rFonts w:ascii="Arial Narrow" w:eastAsiaTheme="majorEastAsia" w:hAnsi="Arial Narrow" w:cstheme="majorBidi"/>
      <w:sz w:val="22"/>
      <w:szCs w:val="22"/>
      <w:b/>
      <w:bCs/>
    </w:rPr>
    <w:rsid w:val="003952C0"/>
  </w:style>
  <w:style w:type="paragraph" w:customStyle="1" w:styleId="ClauseTitle9">
    <w:name w:val="ClauseTitle9"/>
    <w:basedOn w:val="Heading9"/>
    <w:next w:val="Normal"/>
    <w:qFormat/>
    <w:pPr/>
    <w:rPr>
      <w:rFonts w:ascii="Arial Narrow" w:eastAsiaTheme="majorEastAsia" w:hAnsi="Arial Narrow" w:cstheme="majorBidi"/>
      <w:sz w:val="22"/>
      <w:szCs w:val="22"/>
      <w:b/>
      <w:bCs/>
    </w:rPr>
    <w:rsid w:val="003952C0"/>
  </w:style>
  <w:style w:type="paragraph" w:styleId="BodyText">
    <w:name w:val="Body Text"/>
    <w:basedOn w:val="Normal"/>
    <w:link w:val="BodyTextChar"/>
    <w:uiPriority w:val="99"/>
    <w:semiHidden/>
    <w:unhideWhenUsed/>
    <w:rsid w:val="002C5453"/>
    <w:pPr>
      <w:spacing w:after="120"/>
    </w:pPr>
  </w:style>
  <w:style w:type="table" w:styleId="TableGrid">
    <w:name w:val="Table Grid"/>
    <w:basedOn w:val="TableNormal"/>
    <w:uiPriority w:val="59"/>
    <w:rsid w:val="002C545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71E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ne="http://schemas.microsoft.com/office/word/2006/wordml" xmlns:v="urn:schemas-microsoft-com:vml" xmlns:xdofo="http://xmlns.oracle.com/oxp/fo/extensions" xmlns:fo="http://www.w3.org/1999/XSL/Format" xmlns:wp="http://schemas.openxmlformats.org/drawingml/2006/wordprocessingDrawing" xmlns:o="urn:schemas-microsoft-com:office:office" xmlns:ve="http://schemas.openxmlformats.org/markup-compatibility/2006" xmlns:m="http://schemas.openxmlformats.org/officeDocument/2006/math" xmlns:pkg="http://schemas.microsoft.com/office/2006/xmlPackage" xmlns:w10="urn:schemas-microsoft-com:office:word" xmlns:dt="uuid:C2F41010-65B3-11d1-A29F-00AA00C14882" mc:Ignorable="w14 w15 w16se w16cid w16 w16cex w16sdtdh"/>
</file>

<file path=word/_rels/document.xml.rels><?xml version = '1.0' encoding = 'UTF-8' standalone = 'yes'?>
<Relationships xmlns="http://schemas.openxmlformats.org/package/2006/relationships" xmlns:ve="http://schemas.openxmlformats.org/markup-compatibility/2006" xmlns:w="http://schemas.openxmlformats.org/wordprocessingml/2006/main" xmlns:v="urn:schemas-microsoft-com:vml" xmlns:dt="uuid:C2F41010-65B3-11d1-A29F-00AA00C14882"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customXml" Target="../customXml/item1.xml"/><Relationship Id="rId5" Type="http://schemas.openxmlformats.org/officeDocument/2006/relationships/customXml" Target="../customXml/item2.xml"/><Relationship Id="HeaderId1" Type="http://schemas.openxmlformats.org/officeDocument/2006/relationships/header" Target="header1.xml"/><Relationship Id="FooterId1" Type="http://schemas.openxmlformats.org/officeDocument/2006/relationships/footer" Target="footer1.xml"/><Relationship Id="webSettingId1" Type="http://schemas.openxmlformats.org/officeDocument/2006/relationships/webSettings" Target="webSettings.xml"/><Relationship Id="ARTICLE300001394242798" Type="http://schemas.openxmlformats.org/officeDocument/2006/relationships/aFChunk" Target="ARTICLE300001394242798.xml"/></Relationships>
</file>

<file path=customXml/_rels/item1.xml.rels><?xml version = '1.0' encoding = 'UTF-8' standalone = 'yes'?>
<Relationships xmlns="http://schemas.openxmlformats.org/package/2006/relationships" xmlns:ve="http://schemas.openxmlformats.org/markup-compatibility/2006" xmlns:w="http://schemas.openxmlformats.org/wordprocessingml/2006/main" xmlns:v="urn:schemas-microsoft-com:vml" xmlns:dt="uuid:C2F41010-65B3-11d1-A29F-00AA00C14882"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Relationship Id="rId1" Type="http://schemas.openxmlformats.org/officeDocument/2006/relationships/customXmlProps" Target="itemProps1.xml"/></Relationships>
</file>

<file path=customXml/_rels/item2.xml.rels><?xml version = '1.0' encoding = 'UTF-8' standalone = 'yes'?>
<Relationships xmlns="http://schemas.openxmlformats.org/package/2006/relationships" xmlns:ve="http://schemas.openxmlformats.org/markup-compatibility/2006" xmlns:w="http://schemas.openxmlformats.org/wordprocessingml/2006/main" xmlns:v="urn:schemas-microsoft-com:vml" xmlns:dt="uuid:C2F41010-65B3-11d1-A29F-00AA00C14882"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Relationship Id="rId1" Type="http://schemas.openxmlformats.org/officeDocument/2006/relationships/customXmlProps" Target="itemProps2.xml"/></Relationships>
</file>

<file path=customXml/item1.xml><?xml version="1.0" encoding="utf-8"?>
<root xmlns:ve="http://schemas.openxmlformats.org/markup-compatibility/2006" xmlns:w="http://schemas.openxmlformats.org/wordprocessingml/2006/main" xmlns:v="urn:schemas-microsoft-com:vml" xmlns:dt="uuid:C2F41010-65B3-11d1-A29F-00AA00C14882"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file>

<file path=customXml/item2.xml><?xml version="1.0" encoding="utf-8"?>
<root xmlns:ve="http://schemas.openxmlformats.org/markup-compatibility/2006" xmlns:w="http://schemas.openxmlformats.org/wordprocessingml/2006/main" xmlns:v="urn:schemas-microsoft-com:vml" xmlns:dt="uuid:C2F41010-65B3-11d1-A29F-00AA00C14882"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clause id="300001394242798" status="Nochange" articleId="" articleVersionId=""/>
</root>
</file>

<file path=customXml/itemProps1.xml><?xml version="1.0" encoding="utf-8"?>
<ds:datastoreItem xmlns:ds="http://schemas.openxmlformats.org/officeDocument/2006/customXml" xmlns:ve="http://schemas.openxmlformats.org/markup-compatibility/2006" xmlns:w="http://schemas.openxmlformats.org/wordprocessingml/2006/main" xmlns:v="urn:schemas-microsoft-com:vml" xmlns:dt="uuid:C2F41010-65B3-11d1-A29F-00AA00C14882"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ds:itemID="{BC6176AC-0D7E-4CB6-B62C-E649E7B8BE9E}">
  <ds:schemaRefs/>
</ds:datastoreItem>
</file>

<file path=customXml/itemProps2.xml><?xml version="1.0" encoding="utf-8"?>
<ds:datastoreItem xmlns:ds="http://schemas.openxmlformats.org/officeDocument/2006/customXml" xmlns:ve="http://schemas.openxmlformats.org/markup-compatibility/2006" xmlns:w="http://schemas.openxmlformats.org/wordprocessingml/2006/main" xmlns:v="urn:schemas-microsoft-com:vml" xmlns:dt="uuid:C2F41010-65B3-11d1-A29F-00AA00C14882"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ds:itemID="{DEA6EA1F-20C6-4511-A0A2-14CEF0789929}">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xmlns:w="http://schemas.openxmlformats.org/wordprocessingml/2006/main" xmlns:wne="http://schemas.microsoft.com/office/word/2006/wordml" xmlns:v="urn:schemas-microsoft-com:vml" xmlns:xdofo="http://xmlns.oracle.com/oxp/fo/extensions" xmlns:fo="http://www.w3.org/1999/XSL/Format" xmlns:r="http://schemas.openxmlformats.org/officeDocument/2006/relationships" xmlns:wp="http://schemas.openxmlformats.org/drawingml/2006/wordprocessingDrawing" xmlns:o="urn:schemas-microsoft-com:office:office" xmlns:ve="http://schemas.openxmlformats.org/markup-compatibility/2006" xmlns:m="http://schemas.openxmlformats.org/officeDocument/2006/math" xmlns:pkg="http://schemas.microsoft.com/office/2006/xmlPackage" xmlns:w10="urn:schemas-microsoft-com:office:word" xmlns:dt="uuid:C2F41010-65B3-11d1-A29F-00AA00C14882">
  <dc:title>30000029194</dc:title>
  <dc:creator>Ahmat LOOL</dc:creator>
</cp:coreProperties>
</file>

<file path=docProps/custom.xml><?xml version="1.0" encoding="utf-8"?>
<Properties xmlns="http://schemas.openxmlformats.org/officeDocument/2006/custom-properties" xmlns:vt="http://schemas.openxmlformats.org/officeDocument/2006/docPropsVTypes" xmlns:ve="http://schemas.openxmlformats.org/markup-compatibility/2006" xmlns:w="http://schemas.openxmlformats.org/wordprocessingml/2006/main" xmlns:v="urn:schemas-microsoft-com:vml" xmlns:dt="uuid:C2F41010-65B3-11d1-A29F-00AA00C14882" xmlns:r="http://schemas.openxmlformats.org/officeDocument/2006/relationships" xmlns:fo="http://www.w3.org/1999/XSL/Format" xmlns:pkg="http://schemas.microsoft.com/office/2006/xmlPackage" xmlns:o="urn:schemas-microsoft-com:office:office" xmlns:wne="http://schemas.microsoft.com/office/word/2006/wordml" xmlns:m="http://schemas.openxmlformats.org/officeDocument/2006/math" xmlns:w10="urn:schemas-microsoft-com:office:word" xmlns:xdofo="http://xmlns.oracle.com/oxp/fo/extensions" xmlns:wp="http://schemas.openxmlformats.org/drawingml/2006/wordprocessingDrawing">
  <property fmtid="{D5CDD505-2E9C-101B-9397-08002B2CF9AE}" pid="2" name="Language">
    <vt:lpwstr>US</vt:lpwstr>
  </property>
  <property fmtid="{D5CDD505-2E9C-101B-9397-08002B2CF9AE}" pid="3" name="TemplateIdentifier">
    <vt:r8>300001103333616</vt:r8>
  </property>
  <property fmtid="{D5CDD505-2E9C-101B-9397-08002B2CF9AE}" pid="4" name="EngineVersion">
    <vt:lpwstr>10</vt:lpwstr>
  </property>
  <property fmtid="{D5CDD505-2E9C-101B-9397-08002B2CF9AE}" pid="5" name="DocumentType">
    <vt:lpwstr>RFQ</vt:lpwstr>
  </property>
  <property fmtid="{D5CDD505-2E9C-101B-9397-08002B2CF9AE}" pid="6" name="DocumentNumber">
    <vt:lpwstr>30000029194</vt:lpwstr>
  </property>
  <property fmtid="{D5CDD505-2E9C-101B-9397-08002B2CF9AE}" pid="7" name="DocumentId">
    <vt:r8>300001360695407</vt:r8>
  </property>
  <property fmtid="{D5CDD505-2E9C-101B-9397-08002B2CF9AE}" pid="8" name="DocumentVersion">
    <vt:lpwstr>0</vt:lpwstr>
  </property>
  <property fmtid="{D5CDD505-2E9C-101B-9397-08002B2CF9AE}" pid="9" name="User">
    <vt:lpwstr>Ahmat LOOL</vt:lpwstr>
  </property>
  <property fmtid="{D5CDD505-2E9C-101B-9397-08002B2CF9AE}" pid="10" name="DocCreated">
    <vt:lpwstr>1784890880653</vt:lpwstr>
  </property>
  <property fmtid="{D5CDD505-2E9C-101B-9397-08002B2CF9AE}" pid="11" name="RenderWithIndent">
    <vt:lpwstr>N</vt:lpwstr>
  </property>
  <property fmtid="{D5CDD505-2E9C-101B-9397-08002B2CF9AE}" pid="12" name="WebAppRoot">
    <vt:lpwstr>https://fa-evlj-saasfaprod1.fa.ocs.oraclecloud.com:443/fscmUI</vt:lpwstr>
  </property>
  <property fmtid="{D5CDD505-2E9C-101B-9397-08002B2CF9AE}" pid="13" name="AddinHelpUrl">
    <vt:lpwstr>https://docs.oracle.com/pls/topic/lookup?ctx=fa-latest&amp;id=FASCC1124256</vt:lpwstr>
  </property>
  <property fmtid="{D5CDD505-2E9C-101B-9397-08002B2CF9AE}" pid="14" name="ContractTypeName">
    <vt:lpwstr/>
  </property>
  <property fmtid="{D5CDD505-2E9C-101B-9397-08002B2CF9AE}" pid="15" name="ShowContentControlYn">
    <vt:lpwstr>Y</vt:lpwstr>
  </property>
</Properties>
</file>